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pPr>
    </w:p>
    <w:p>
      <w:pPr>
        <w:spacing w:line="360" w:lineRule="auto"/>
        <w:ind w:firstLine="640"/>
      </w:pPr>
    </w:p>
    <w:p>
      <w:pPr>
        <w:spacing w:line="360" w:lineRule="auto"/>
        <w:ind w:firstLine="640"/>
      </w:pPr>
    </w:p>
    <w:p>
      <w:pPr>
        <w:pStyle w:val="18"/>
        <w:spacing w:line="360" w:lineRule="auto"/>
      </w:pPr>
      <w:r>
        <w:rPr>
          <w:rFonts w:hint="eastAsia"/>
        </w:rPr>
        <w:t>龙岩市“十五五”文化和旅游专项规划</w:t>
      </w:r>
    </w:p>
    <w:p>
      <w:pPr>
        <w:pStyle w:val="18"/>
        <w:spacing w:line="360" w:lineRule="auto"/>
      </w:pPr>
      <w:r>
        <w:rPr>
          <w:rFonts w:hint="eastAsia"/>
        </w:rPr>
        <w:t>（送审稿）</w:t>
      </w:r>
    </w:p>
    <w:p>
      <w:pPr>
        <w:spacing w:line="360" w:lineRule="auto"/>
        <w:ind w:firstLine="640"/>
      </w:pPr>
    </w:p>
    <w:p>
      <w:pPr>
        <w:spacing w:line="360" w:lineRule="auto"/>
        <w:ind w:firstLine="640"/>
      </w:pPr>
    </w:p>
    <w:p>
      <w:pPr>
        <w:spacing w:line="360" w:lineRule="auto"/>
        <w:ind w:firstLine="640"/>
      </w:pPr>
    </w:p>
    <w:p>
      <w:pPr>
        <w:spacing w:line="360" w:lineRule="auto"/>
        <w:ind w:firstLine="640"/>
      </w:pPr>
    </w:p>
    <w:p>
      <w:pPr>
        <w:spacing w:line="360" w:lineRule="auto"/>
        <w:ind w:firstLine="640"/>
      </w:pPr>
    </w:p>
    <w:p>
      <w:pPr>
        <w:spacing w:line="360" w:lineRule="auto"/>
        <w:ind w:firstLine="640"/>
      </w:pPr>
    </w:p>
    <w:p>
      <w:pPr>
        <w:spacing w:line="360" w:lineRule="auto"/>
        <w:ind w:firstLine="640"/>
      </w:pPr>
    </w:p>
    <w:p>
      <w:pPr>
        <w:spacing w:line="360" w:lineRule="auto"/>
        <w:ind w:firstLine="640"/>
      </w:pPr>
    </w:p>
    <w:p>
      <w:pPr>
        <w:spacing w:line="360" w:lineRule="auto"/>
        <w:ind w:firstLine="640"/>
      </w:pPr>
    </w:p>
    <w:p>
      <w:pPr>
        <w:spacing w:line="360" w:lineRule="auto"/>
        <w:ind w:firstLine="0" w:firstLineChars="0"/>
        <w:jc w:val="center"/>
        <w:rPr>
          <w:sz w:val="36"/>
          <w:szCs w:val="28"/>
        </w:rPr>
      </w:pPr>
      <w:r>
        <w:rPr>
          <w:rFonts w:hint="eastAsia"/>
          <w:sz w:val="36"/>
          <w:szCs w:val="28"/>
        </w:rPr>
        <w:t>龙岩市文化和旅游局</w:t>
      </w:r>
    </w:p>
    <w:p>
      <w:pPr>
        <w:spacing w:line="360" w:lineRule="auto"/>
        <w:ind w:firstLine="0" w:firstLineChars="0"/>
        <w:jc w:val="center"/>
      </w:pPr>
      <w:r>
        <w:rPr>
          <w:rFonts w:hint="eastAsia"/>
          <w:sz w:val="36"/>
          <w:szCs w:val="28"/>
        </w:rPr>
        <w:t>2</w:t>
      </w:r>
      <w:r>
        <w:rPr>
          <w:sz w:val="36"/>
          <w:szCs w:val="28"/>
        </w:rPr>
        <w:t>02</w:t>
      </w:r>
      <w:r>
        <w:rPr>
          <w:rFonts w:hint="eastAsia"/>
          <w:sz w:val="36"/>
          <w:szCs w:val="28"/>
          <w:lang w:val="en-US" w:eastAsia="zh-CN"/>
        </w:rPr>
        <w:t>6</w:t>
      </w:r>
      <w:r>
        <w:rPr>
          <w:rFonts w:hint="eastAsia"/>
          <w:sz w:val="36"/>
          <w:szCs w:val="28"/>
        </w:rPr>
        <w:t>年</w:t>
      </w:r>
      <w:r>
        <w:rPr>
          <w:rFonts w:hint="eastAsia"/>
          <w:sz w:val="36"/>
          <w:szCs w:val="28"/>
          <w:lang w:val="en-US" w:eastAsia="zh-CN"/>
        </w:rPr>
        <w:t>07</w:t>
      </w:r>
      <w:r>
        <w:rPr>
          <w:rFonts w:hint="eastAsia"/>
          <w:sz w:val="36"/>
          <w:szCs w:val="28"/>
        </w:rPr>
        <w:t>月</w:t>
      </w:r>
      <w:bookmarkStart w:id="92" w:name="_GoBack"/>
      <w:bookmarkEnd w:id="92"/>
    </w:p>
    <w:p>
      <w:pPr>
        <w:ind w:firstLine="0" w:firstLineChars="0"/>
        <w:jc w:val="center"/>
      </w:pP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435" w:charSpace="0"/>
        </w:sectPr>
      </w:pPr>
    </w:p>
    <w:p>
      <w:pPr>
        <w:ind w:firstLine="0" w:firstLineChars="0"/>
        <w:jc w:val="center"/>
        <w:rPr>
          <w:b/>
          <w:bCs/>
        </w:rPr>
      </w:pPr>
      <w:r>
        <w:rPr>
          <w:rFonts w:hint="eastAsia"/>
          <w:b/>
          <w:bCs/>
        </w:rPr>
        <w:t>目 录</w:t>
      </w:r>
    </w:p>
    <w:p>
      <w:pPr>
        <w:pStyle w:val="14"/>
        <w:rPr>
          <w:rFonts w:hint="eastAsia" w:asciiTheme="minorHAnsi" w:hAnsiTheme="minorHAnsi" w:eastAsiaTheme="minorEastAsia" w:cstheme="minorBidi"/>
          <w:sz w:val="22"/>
          <w14:ligatures w14:val="standardContextual"/>
        </w:rPr>
      </w:pPr>
      <w:r>
        <w:rPr>
          <w:b/>
          <w:bCs/>
        </w:rPr>
        <w:fldChar w:fldCharType="begin"/>
      </w:r>
      <w:r>
        <w:rPr>
          <w:b/>
          <w:bCs/>
        </w:rPr>
        <w:instrText xml:space="preserve"> </w:instrText>
      </w:r>
      <w:r>
        <w:rPr>
          <w:rFonts w:hint="eastAsia"/>
          <w:b/>
          <w:bCs/>
        </w:rPr>
        <w:instrText xml:space="preserve">TOC \o "1-3" \h \z \u</w:instrText>
      </w:r>
      <w:r>
        <w:rPr>
          <w:b/>
          <w:bCs/>
        </w:rPr>
        <w:instrText xml:space="preserve"> </w:instrText>
      </w:r>
      <w:r>
        <w:rPr>
          <w:b/>
          <w:bCs/>
        </w:rPr>
        <w:fldChar w:fldCharType="separate"/>
      </w:r>
      <w:r>
        <w:fldChar w:fldCharType="begin"/>
      </w:r>
      <w:r>
        <w:instrText xml:space="preserve"> HYPERLINK \l "_Toc231465174" </w:instrText>
      </w:r>
      <w:r>
        <w:fldChar w:fldCharType="separate"/>
      </w:r>
      <w:r>
        <w:rPr>
          <w:rStyle w:val="23"/>
          <w:rFonts w:hint="eastAsia"/>
        </w:rPr>
        <w:t>第一章  发展基础</w:t>
      </w:r>
      <w:r>
        <w:rPr>
          <w:rFonts w:hint="eastAsia"/>
        </w:rPr>
        <w:tab/>
      </w:r>
      <w:r>
        <w:rPr>
          <w:rFonts w:hint="eastAsia"/>
        </w:rPr>
        <w:fldChar w:fldCharType="begin"/>
      </w:r>
      <w:r>
        <w:rPr>
          <w:rFonts w:hint="eastAsia"/>
        </w:rPr>
        <w:instrText xml:space="preserve"> </w:instrText>
      </w:r>
      <w:r>
        <w:instrText xml:space="preserve">PAGEREF _Toc231465174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"_Toc231465175" </w:instrText>
      </w:r>
      <w:r>
        <w:fldChar w:fldCharType="separate"/>
      </w:r>
      <w:r>
        <w:rPr>
          <w:rStyle w:val="23"/>
          <w:rFonts w:hint="eastAsia"/>
        </w:rPr>
        <w:t>一、发展成就</w:t>
      </w:r>
      <w:r>
        <w:rPr>
          <w:rFonts w:hint="eastAsia"/>
        </w:rPr>
        <w:tab/>
      </w:r>
      <w:r>
        <w:rPr>
          <w:rFonts w:hint="eastAsia"/>
        </w:rPr>
        <w:fldChar w:fldCharType="begin"/>
      </w:r>
      <w:r>
        <w:rPr>
          <w:rFonts w:hint="eastAsia"/>
        </w:rPr>
        <w:instrText xml:space="preserve"> </w:instrText>
      </w:r>
      <w:r>
        <w:instrText xml:space="preserve">PAGEREF _Toc231465175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"_Toc231465176" </w:instrText>
      </w:r>
      <w:r>
        <w:fldChar w:fldCharType="separate"/>
      </w:r>
      <w:r>
        <w:rPr>
          <w:rStyle w:val="23"/>
          <w:rFonts w:hint="eastAsia"/>
        </w:rPr>
        <w:t>（一）文化事业蓬勃发展</w:t>
      </w:r>
      <w:r>
        <w:rPr>
          <w:rFonts w:hint="eastAsia"/>
        </w:rPr>
        <w:tab/>
      </w:r>
      <w:r>
        <w:rPr>
          <w:rFonts w:hint="eastAsia"/>
        </w:rPr>
        <w:fldChar w:fldCharType="begin"/>
      </w:r>
      <w:r>
        <w:rPr>
          <w:rFonts w:hint="eastAsia"/>
        </w:rPr>
        <w:instrText xml:space="preserve"> </w:instrText>
      </w:r>
      <w:r>
        <w:instrText xml:space="preserve">PAGEREF _Toc231465176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"_Toc231465177" </w:instrText>
      </w:r>
      <w:r>
        <w:fldChar w:fldCharType="separate"/>
      </w:r>
      <w:r>
        <w:rPr>
          <w:rStyle w:val="23"/>
          <w:rFonts w:hint="eastAsia"/>
        </w:rPr>
        <w:t>（二）文旅产业提质增效</w:t>
      </w:r>
      <w:r>
        <w:rPr>
          <w:rFonts w:hint="eastAsia"/>
        </w:rPr>
        <w:tab/>
      </w:r>
      <w:r>
        <w:rPr>
          <w:rFonts w:hint="eastAsia"/>
        </w:rPr>
        <w:fldChar w:fldCharType="begin"/>
      </w:r>
      <w:r>
        <w:rPr>
          <w:rFonts w:hint="eastAsia"/>
        </w:rPr>
        <w:instrText xml:space="preserve"> </w:instrText>
      </w:r>
      <w:r>
        <w:instrText xml:space="preserve">PAGEREF _Toc231465177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"_Toc231465178" </w:instrText>
      </w:r>
      <w:r>
        <w:fldChar w:fldCharType="separate"/>
      </w:r>
      <w:r>
        <w:rPr>
          <w:rStyle w:val="23"/>
          <w:rFonts w:hint="eastAsia"/>
        </w:rPr>
        <w:t>（三）广电新闻出版事业有序推进</w:t>
      </w:r>
      <w:r>
        <w:rPr>
          <w:rFonts w:hint="eastAsia"/>
        </w:rPr>
        <w:tab/>
      </w:r>
      <w:r>
        <w:rPr>
          <w:rFonts w:hint="eastAsia"/>
        </w:rPr>
        <w:fldChar w:fldCharType="begin"/>
      </w:r>
      <w:r>
        <w:rPr>
          <w:rFonts w:hint="eastAsia"/>
        </w:rPr>
        <w:instrText xml:space="preserve"> </w:instrText>
      </w:r>
      <w:r>
        <w:instrText xml:space="preserve">PAGEREF _Toc231465178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"_Toc231465179" </w:instrText>
      </w:r>
      <w:r>
        <w:fldChar w:fldCharType="separate"/>
      </w:r>
      <w:r>
        <w:rPr>
          <w:rStyle w:val="23"/>
          <w:rFonts w:hint="eastAsia"/>
        </w:rPr>
        <w:t>（四）区域合作全面拓展</w:t>
      </w:r>
      <w:r>
        <w:rPr>
          <w:rFonts w:hint="eastAsia"/>
        </w:rPr>
        <w:tab/>
      </w:r>
      <w:r>
        <w:rPr>
          <w:rFonts w:hint="eastAsia"/>
        </w:rPr>
        <w:fldChar w:fldCharType="begin"/>
      </w:r>
      <w:r>
        <w:rPr>
          <w:rFonts w:hint="eastAsia"/>
        </w:rPr>
        <w:instrText xml:space="preserve"> </w:instrText>
      </w:r>
      <w:r>
        <w:instrText xml:space="preserve">PAGEREF _Toc231465179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"_Toc231465180" </w:instrText>
      </w:r>
      <w:r>
        <w:fldChar w:fldCharType="separate"/>
      </w:r>
      <w:r>
        <w:rPr>
          <w:rStyle w:val="23"/>
          <w:rFonts w:hint="eastAsia"/>
        </w:rPr>
        <w:t>二、存在问题</w:t>
      </w:r>
      <w:r>
        <w:rPr>
          <w:rFonts w:hint="eastAsia"/>
        </w:rPr>
        <w:tab/>
      </w:r>
      <w:r>
        <w:rPr>
          <w:rFonts w:hint="eastAsia"/>
        </w:rPr>
        <w:fldChar w:fldCharType="begin"/>
      </w:r>
      <w:r>
        <w:rPr>
          <w:rFonts w:hint="eastAsia"/>
        </w:rPr>
        <w:instrText xml:space="preserve"> </w:instrText>
      </w:r>
      <w:r>
        <w:instrText xml:space="preserve">PAGEREF _Toc231465180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4"/>
        <w:rPr>
          <w:rFonts w:hint="eastAsia" w:asciiTheme="minorHAnsi" w:hAnsiTheme="minorHAnsi" w:eastAsiaTheme="minorEastAsia" w:cstheme="minorBidi"/>
          <w:sz w:val="22"/>
          <w14:ligatures w14:val="standardContextual"/>
        </w:rPr>
      </w:pPr>
      <w:r>
        <w:fldChar w:fldCharType="begin"/>
      </w:r>
      <w:r>
        <w:instrText xml:space="preserve"> HYPERLINK \l "_Toc231465181" </w:instrText>
      </w:r>
      <w:r>
        <w:fldChar w:fldCharType="separate"/>
      </w:r>
      <w:r>
        <w:rPr>
          <w:rStyle w:val="23"/>
          <w:rFonts w:hint="eastAsia"/>
        </w:rPr>
        <w:t>第二章  总体要求</w:t>
      </w:r>
      <w:r>
        <w:rPr>
          <w:rFonts w:hint="eastAsia"/>
        </w:rPr>
        <w:tab/>
      </w:r>
      <w:r>
        <w:rPr>
          <w:rFonts w:hint="eastAsia"/>
        </w:rPr>
        <w:fldChar w:fldCharType="begin"/>
      </w:r>
      <w:r>
        <w:rPr>
          <w:rFonts w:hint="eastAsia"/>
        </w:rPr>
        <w:instrText xml:space="preserve"> </w:instrText>
      </w:r>
      <w:r>
        <w:instrText xml:space="preserve">PAGEREF _Toc231465181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"_Toc231465182" </w:instrText>
      </w:r>
      <w:r>
        <w:fldChar w:fldCharType="separate"/>
      </w:r>
      <w:r>
        <w:rPr>
          <w:rStyle w:val="23"/>
          <w:rFonts w:hint="eastAsia"/>
        </w:rPr>
        <w:t>一、指导思想</w:t>
      </w:r>
      <w:r>
        <w:rPr>
          <w:rFonts w:hint="eastAsia"/>
        </w:rPr>
        <w:tab/>
      </w:r>
      <w:r>
        <w:rPr>
          <w:rFonts w:hint="eastAsia"/>
        </w:rPr>
        <w:fldChar w:fldCharType="begin"/>
      </w:r>
      <w:r>
        <w:rPr>
          <w:rFonts w:hint="eastAsia"/>
        </w:rPr>
        <w:instrText xml:space="preserve"> </w:instrText>
      </w:r>
      <w:r>
        <w:instrText xml:space="preserve">PAGEREF _Toc231465182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"_Toc231465183" </w:instrText>
      </w:r>
      <w:r>
        <w:fldChar w:fldCharType="separate"/>
      </w:r>
      <w:r>
        <w:rPr>
          <w:rStyle w:val="23"/>
          <w:rFonts w:hint="eastAsia"/>
        </w:rPr>
        <w:t>二、发展目标</w:t>
      </w:r>
      <w:r>
        <w:rPr>
          <w:rFonts w:hint="eastAsia"/>
        </w:rPr>
        <w:tab/>
      </w:r>
      <w:r>
        <w:rPr>
          <w:rFonts w:hint="eastAsia"/>
        </w:rPr>
        <w:fldChar w:fldCharType="begin"/>
      </w:r>
      <w:r>
        <w:rPr>
          <w:rFonts w:hint="eastAsia"/>
        </w:rPr>
        <w:instrText xml:space="preserve"> </w:instrText>
      </w:r>
      <w:r>
        <w:instrText xml:space="preserve">PAGEREF _Toc231465183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"_Toc231465184" </w:instrText>
      </w:r>
      <w:r>
        <w:fldChar w:fldCharType="separate"/>
      </w:r>
      <w:r>
        <w:rPr>
          <w:rStyle w:val="23"/>
          <w:rFonts w:hint="eastAsia"/>
        </w:rPr>
        <w:t>三、发展布局</w:t>
      </w:r>
      <w:r>
        <w:rPr>
          <w:rFonts w:hint="eastAsia"/>
        </w:rPr>
        <w:tab/>
      </w:r>
      <w:r>
        <w:rPr>
          <w:rFonts w:hint="eastAsia"/>
        </w:rPr>
        <w:fldChar w:fldCharType="begin"/>
      </w:r>
      <w:r>
        <w:rPr>
          <w:rFonts w:hint="eastAsia"/>
        </w:rPr>
        <w:instrText xml:space="preserve"> </w:instrText>
      </w:r>
      <w:r>
        <w:instrText xml:space="preserve">PAGEREF _Toc231465184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4"/>
        <w:rPr>
          <w:rFonts w:hint="eastAsia" w:asciiTheme="minorHAnsi" w:hAnsiTheme="minorHAnsi" w:eastAsiaTheme="minorEastAsia" w:cstheme="minorBidi"/>
          <w:sz w:val="22"/>
          <w14:ligatures w14:val="standardContextual"/>
        </w:rPr>
      </w:pPr>
      <w:r>
        <w:fldChar w:fldCharType="begin"/>
      </w:r>
      <w:r>
        <w:instrText xml:space="preserve"> HYPERLINK \l "_Toc231465185" </w:instrText>
      </w:r>
      <w:r>
        <w:fldChar w:fldCharType="separate"/>
      </w:r>
      <w:r>
        <w:rPr>
          <w:rStyle w:val="23"/>
          <w:rFonts w:hint="eastAsia"/>
        </w:rPr>
        <w:t>第三章  主要发展任务</w:t>
      </w:r>
      <w:r>
        <w:rPr>
          <w:rFonts w:hint="eastAsia"/>
        </w:rPr>
        <w:tab/>
      </w:r>
      <w:r>
        <w:rPr>
          <w:rFonts w:hint="eastAsia"/>
        </w:rPr>
        <w:fldChar w:fldCharType="begin"/>
      </w:r>
      <w:r>
        <w:rPr>
          <w:rFonts w:hint="eastAsia"/>
        </w:rPr>
        <w:instrText xml:space="preserve"> </w:instrText>
      </w:r>
      <w:r>
        <w:instrText xml:space="preserve">PAGEREF _Toc231465185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"_Toc231465186" </w:instrText>
      </w:r>
      <w:r>
        <w:fldChar w:fldCharType="separate"/>
      </w:r>
      <w:r>
        <w:rPr>
          <w:rStyle w:val="23"/>
          <w:rFonts w:hint="eastAsia"/>
        </w:rPr>
        <w:t>一、繁荣文化艺术创作生产</w:t>
      </w:r>
      <w:r>
        <w:rPr>
          <w:rFonts w:hint="eastAsia"/>
        </w:rPr>
        <w:tab/>
      </w:r>
      <w:r>
        <w:rPr>
          <w:rFonts w:hint="eastAsia"/>
        </w:rPr>
        <w:fldChar w:fldCharType="begin"/>
      </w:r>
      <w:r>
        <w:rPr>
          <w:rFonts w:hint="eastAsia"/>
        </w:rPr>
        <w:instrText xml:space="preserve"> </w:instrText>
      </w:r>
      <w:r>
        <w:instrText xml:space="preserve">PAGEREF _Toc231465186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"_Toc231465187" </w:instrText>
      </w:r>
      <w:r>
        <w:fldChar w:fldCharType="separate"/>
      </w:r>
      <w:r>
        <w:rPr>
          <w:rStyle w:val="23"/>
          <w:rFonts w:hint="eastAsia"/>
          <w:shd w:val="clear" w:color="auto" w:fill="FFFFFF"/>
        </w:rPr>
        <w:t>（一）实施文艺创作精品战略</w:t>
      </w:r>
      <w:r>
        <w:rPr>
          <w:rFonts w:hint="eastAsia"/>
        </w:rPr>
        <w:tab/>
      </w:r>
      <w:r>
        <w:rPr>
          <w:rFonts w:hint="eastAsia"/>
        </w:rPr>
        <w:fldChar w:fldCharType="begin"/>
      </w:r>
      <w:r>
        <w:rPr>
          <w:rFonts w:hint="eastAsia"/>
        </w:rPr>
        <w:instrText xml:space="preserve"> </w:instrText>
      </w:r>
      <w:r>
        <w:instrText xml:space="preserve">PAGEREF _Toc231465187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"_Toc231465188" </w:instrText>
      </w:r>
      <w:r>
        <w:fldChar w:fldCharType="separate"/>
      </w:r>
      <w:r>
        <w:rPr>
          <w:rStyle w:val="23"/>
          <w:rFonts w:hint="eastAsia"/>
        </w:rPr>
        <w:t>（二）加强文艺人才队伍建设</w:t>
      </w:r>
      <w:r>
        <w:rPr>
          <w:rFonts w:hint="eastAsia"/>
        </w:rPr>
        <w:tab/>
      </w:r>
      <w:r>
        <w:rPr>
          <w:rFonts w:hint="eastAsia"/>
        </w:rPr>
        <w:fldChar w:fldCharType="begin"/>
      </w:r>
      <w:r>
        <w:rPr>
          <w:rFonts w:hint="eastAsia"/>
        </w:rPr>
        <w:instrText xml:space="preserve"> </w:instrText>
      </w:r>
      <w:r>
        <w:instrText xml:space="preserve">PAGEREF _Toc231465188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"_Toc231465189" </w:instrText>
      </w:r>
      <w:r>
        <w:fldChar w:fldCharType="separate"/>
      </w:r>
      <w:r>
        <w:rPr>
          <w:rStyle w:val="23"/>
          <w:rFonts w:hint="eastAsia"/>
        </w:rPr>
        <w:t>二、完善文化遗产保护体系</w:t>
      </w:r>
      <w:r>
        <w:rPr>
          <w:rFonts w:hint="eastAsia"/>
        </w:rPr>
        <w:tab/>
      </w:r>
      <w:r>
        <w:rPr>
          <w:rFonts w:hint="eastAsia"/>
        </w:rPr>
        <w:fldChar w:fldCharType="begin"/>
      </w:r>
      <w:r>
        <w:rPr>
          <w:rFonts w:hint="eastAsia"/>
        </w:rPr>
        <w:instrText xml:space="preserve"> </w:instrText>
      </w:r>
      <w:r>
        <w:instrText xml:space="preserve">PAGEREF _Toc231465189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"_Toc231465190" </w:instrText>
      </w:r>
      <w:r>
        <w:fldChar w:fldCharType="separate"/>
      </w:r>
      <w:r>
        <w:rPr>
          <w:rStyle w:val="23"/>
          <w:rFonts w:hint="eastAsia"/>
          <w:shd w:val="clear" w:color="auto" w:fill="FFFFFF"/>
        </w:rPr>
        <w:t>（一）系统提升文物保护水平</w:t>
      </w:r>
      <w:r>
        <w:rPr>
          <w:rFonts w:hint="eastAsia"/>
        </w:rPr>
        <w:tab/>
      </w:r>
      <w:r>
        <w:rPr>
          <w:rFonts w:hint="eastAsia"/>
        </w:rPr>
        <w:fldChar w:fldCharType="begin"/>
      </w:r>
      <w:r>
        <w:rPr>
          <w:rFonts w:hint="eastAsia"/>
        </w:rPr>
        <w:instrText xml:space="preserve"> </w:instrText>
      </w:r>
      <w:r>
        <w:instrText xml:space="preserve">PAGEREF _Toc231465190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"_Toc231465191" </w:instrText>
      </w:r>
      <w:r>
        <w:fldChar w:fldCharType="separate"/>
      </w:r>
      <w:r>
        <w:rPr>
          <w:rStyle w:val="23"/>
          <w:rFonts w:hint="eastAsia"/>
        </w:rPr>
        <w:t>（二）健全非遗保护传承体系</w:t>
      </w:r>
      <w:r>
        <w:rPr>
          <w:rFonts w:hint="eastAsia"/>
        </w:rPr>
        <w:tab/>
      </w:r>
      <w:r>
        <w:rPr>
          <w:rFonts w:hint="eastAsia"/>
        </w:rPr>
        <w:fldChar w:fldCharType="begin"/>
      </w:r>
      <w:r>
        <w:rPr>
          <w:rFonts w:hint="eastAsia"/>
        </w:rPr>
        <w:instrText xml:space="preserve"> </w:instrText>
      </w:r>
      <w:r>
        <w:instrText xml:space="preserve">PAGEREF _Toc231465191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"_Toc231465192" </w:instrText>
      </w:r>
      <w:r>
        <w:fldChar w:fldCharType="separate"/>
      </w:r>
      <w:r>
        <w:rPr>
          <w:rStyle w:val="23"/>
          <w:rFonts w:hint="eastAsia"/>
        </w:rPr>
        <w:t>三、加速文化产业品质升级</w:t>
      </w:r>
      <w:r>
        <w:rPr>
          <w:rFonts w:hint="eastAsia"/>
        </w:rPr>
        <w:tab/>
      </w:r>
      <w:r>
        <w:rPr>
          <w:rFonts w:hint="eastAsia"/>
        </w:rPr>
        <w:fldChar w:fldCharType="begin"/>
      </w:r>
      <w:r>
        <w:rPr>
          <w:rFonts w:hint="eastAsia"/>
        </w:rPr>
        <w:instrText xml:space="preserve"> </w:instrText>
      </w:r>
      <w:r>
        <w:instrText xml:space="preserve">PAGEREF _Toc231465192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"_Toc231465193" </w:instrText>
      </w:r>
      <w:r>
        <w:fldChar w:fldCharType="separate"/>
      </w:r>
      <w:r>
        <w:rPr>
          <w:rStyle w:val="23"/>
          <w:rFonts w:hint="eastAsia"/>
        </w:rPr>
        <w:t>（一）打造文化产业集聚区</w:t>
      </w:r>
      <w:r>
        <w:rPr>
          <w:rFonts w:hint="eastAsia"/>
        </w:rPr>
        <w:tab/>
      </w:r>
      <w:r>
        <w:rPr>
          <w:rFonts w:hint="eastAsia"/>
        </w:rPr>
        <w:fldChar w:fldCharType="begin"/>
      </w:r>
      <w:r>
        <w:rPr>
          <w:rFonts w:hint="eastAsia"/>
        </w:rPr>
        <w:instrText xml:space="preserve"> </w:instrText>
      </w:r>
      <w:r>
        <w:instrText xml:space="preserve">PAGEREF _Toc231465193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"_Toc231465194" </w:instrText>
      </w:r>
      <w:r>
        <w:fldChar w:fldCharType="separate"/>
      </w:r>
      <w:r>
        <w:rPr>
          <w:rStyle w:val="23"/>
          <w:rFonts w:hint="eastAsia"/>
        </w:rPr>
        <w:t>（二）提升重点产业发展水平</w:t>
      </w:r>
      <w:r>
        <w:rPr>
          <w:rFonts w:hint="eastAsia"/>
        </w:rPr>
        <w:tab/>
      </w:r>
      <w:r>
        <w:rPr>
          <w:rFonts w:hint="eastAsia"/>
        </w:rPr>
        <w:fldChar w:fldCharType="begin"/>
      </w:r>
      <w:r>
        <w:rPr>
          <w:rFonts w:hint="eastAsia"/>
        </w:rPr>
        <w:instrText xml:space="preserve"> </w:instrText>
      </w:r>
      <w:r>
        <w:instrText xml:space="preserve">PAGEREF _Toc231465194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"_Toc231465195" </w:instrText>
      </w:r>
      <w:r>
        <w:fldChar w:fldCharType="separate"/>
      </w:r>
      <w:r>
        <w:rPr>
          <w:rStyle w:val="23"/>
          <w:rFonts w:hint="eastAsia"/>
        </w:rPr>
        <w:t>四、健全文旅公共服务体系</w:t>
      </w:r>
      <w:r>
        <w:rPr>
          <w:rFonts w:hint="eastAsia"/>
        </w:rPr>
        <w:tab/>
      </w:r>
      <w:r>
        <w:rPr>
          <w:rFonts w:hint="eastAsia"/>
        </w:rPr>
        <w:fldChar w:fldCharType="begin"/>
      </w:r>
      <w:r>
        <w:rPr>
          <w:rFonts w:hint="eastAsia"/>
        </w:rPr>
        <w:instrText xml:space="preserve"> </w:instrText>
      </w:r>
      <w:r>
        <w:instrText xml:space="preserve">PAGEREF _Toc231465195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"_Toc231465196" </w:instrText>
      </w:r>
      <w:r>
        <w:fldChar w:fldCharType="separate"/>
      </w:r>
      <w:r>
        <w:rPr>
          <w:rStyle w:val="23"/>
          <w:rFonts w:hint="eastAsia"/>
        </w:rPr>
        <w:t>（一）加强公共服务设施建设</w:t>
      </w:r>
      <w:r>
        <w:rPr>
          <w:rFonts w:hint="eastAsia"/>
        </w:rPr>
        <w:tab/>
      </w:r>
      <w:r>
        <w:rPr>
          <w:rFonts w:hint="eastAsia"/>
        </w:rPr>
        <w:fldChar w:fldCharType="begin"/>
      </w:r>
      <w:r>
        <w:rPr>
          <w:rFonts w:hint="eastAsia"/>
        </w:rPr>
        <w:instrText xml:space="preserve"> </w:instrText>
      </w:r>
      <w:r>
        <w:instrText xml:space="preserve">PAGEREF _Toc231465196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"_Toc231465197" </w:instrText>
      </w:r>
      <w:r>
        <w:fldChar w:fldCharType="separate"/>
      </w:r>
      <w:r>
        <w:rPr>
          <w:rStyle w:val="23"/>
          <w:rFonts w:hint="eastAsia"/>
        </w:rPr>
        <w:t>（二）深入实施文化惠民工程</w:t>
      </w:r>
      <w:r>
        <w:rPr>
          <w:rFonts w:hint="eastAsia"/>
        </w:rPr>
        <w:tab/>
      </w:r>
      <w:r>
        <w:rPr>
          <w:rFonts w:hint="eastAsia"/>
        </w:rPr>
        <w:fldChar w:fldCharType="begin"/>
      </w:r>
      <w:r>
        <w:rPr>
          <w:rFonts w:hint="eastAsia"/>
        </w:rPr>
        <w:instrText xml:space="preserve"> </w:instrText>
      </w:r>
      <w:r>
        <w:instrText xml:space="preserve">PAGEREF _Toc231465197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"_Toc231465198" </w:instrText>
      </w:r>
      <w:r>
        <w:fldChar w:fldCharType="separate"/>
      </w:r>
      <w:r>
        <w:rPr>
          <w:rStyle w:val="23"/>
          <w:rFonts w:hint="eastAsia"/>
        </w:rPr>
        <w:t>五、推进旅游业高质量发展</w:t>
      </w:r>
      <w:r>
        <w:rPr>
          <w:rFonts w:hint="eastAsia"/>
        </w:rPr>
        <w:tab/>
      </w:r>
      <w:r>
        <w:rPr>
          <w:rFonts w:hint="eastAsia"/>
        </w:rPr>
        <w:fldChar w:fldCharType="begin"/>
      </w:r>
      <w:r>
        <w:rPr>
          <w:rFonts w:hint="eastAsia"/>
        </w:rPr>
        <w:instrText xml:space="preserve"> </w:instrText>
      </w:r>
      <w:r>
        <w:instrText xml:space="preserve">PAGEREF _Toc231465198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"_Toc231465199" </w:instrText>
      </w:r>
      <w:r>
        <w:fldChar w:fldCharType="separate"/>
      </w:r>
      <w:r>
        <w:rPr>
          <w:rStyle w:val="23"/>
          <w:rFonts w:hint="eastAsia"/>
        </w:rPr>
        <w:t>（一）深化红色旅游品质建设</w:t>
      </w:r>
      <w:r>
        <w:rPr>
          <w:rFonts w:hint="eastAsia"/>
        </w:rPr>
        <w:tab/>
      </w:r>
      <w:r>
        <w:rPr>
          <w:rFonts w:hint="eastAsia"/>
        </w:rPr>
        <w:fldChar w:fldCharType="begin"/>
      </w:r>
      <w:r>
        <w:rPr>
          <w:rFonts w:hint="eastAsia"/>
        </w:rPr>
        <w:instrText xml:space="preserve"> </w:instrText>
      </w:r>
      <w:r>
        <w:instrText xml:space="preserve">PAGEREF _Toc231465199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"_Toc231465200" </w:instrText>
      </w:r>
      <w:r>
        <w:fldChar w:fldCharType="separate"/>
      </w:r>
      <w:r>
        <w:rPr>
          <w:rStyle w:val="23"/>
          <w:rFonts w:hint="eastAsia"/>
        </w:rPr>
        <w:t>（二）突出客家旅游特色发展</w:t>
      </w:r>
      <w:r>
        <w:rPr>
          <w:rFonts w:hint="eastAsia"/>
        </w:rPr>
        <w:tab/>
      </w:r>
      <w:r>
        <w:rPr>
          <w:rFonts w:hint="eastAsia"/>
        </w:rPr>
        <w:fldChar w:fldCharType="begin"/>
      </w:r>
      <w:r>
        <w:rPr>
          <w:rFonts w:hint="eastAsia"/>
        </w:rPr>
        <w:instrText xml:space="preserve"> </w:instrText>
      </w:r>
      <w:r>
        <w:instrText xml:space="preserve">PAGEREF _Toc231465200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"_Toc231465201" </w:instrText>
      </w:r>
      <w:r>
        <w:fldChar w:fldCharType="separate"/>
      </w:r>
      <w:r>
        <w:rPr>
          <w:rStyle w:val="23"/>
          <w:rFonts w:hint="eastAsia"/>
        </w:rPr>
        <w:t>（三）推动乡村旅游跨越发展</w:t>
      </w:r>
      <w:r>
        <w:rPr>
          <w:rFonts w:hint="eastAsia"/>
        </w:rPr>
        <w:tab/>
      </w:r>
      <w:r>
        <w:rPr>
          <w:rFonts w:hint="eastAsia"/>
        </w:rPr>
        <w:fldChar w:fldCharType="begin"/>
      </w:r>
      <w:r>
        <w:rPr>
          <w:rFonts w:hint="eastAsia"/>
        </w:rPr>
        <w:instrText xml:space="preserve"> </w:instrText>
      </w:r>
      <w:r>
        <w:instrText xml:space="preserve">PAGEREF _Toc231465201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"_Toc231465202" </w:instrText>
      </w:r>
      <w:r>
        <w:fldChar w:fldCharType="separate"/>
      </w:r>
      <w:r>
        <w:rPr>
          <w:rStyle w:val="23"/>
          <w:rFonts w:hint="eastAsia"/>
        </w:rPr>
        <w:t>（四）创新文旅融合新业态</w:t>
      </w:r>
      <w:r>
        <w:rPr>
          <w:rFonts w:hint="eastAsia"/>
        </w:rPr>
        <w:tab/>
      </w:r>
      <w:r>
        <w:rPr>
          <w:rFonts w:hint="eastAsia"/>
        </w:rPr>
        <w:fldChar w:fldCharType="begin"/>
      </w:r>
      <w:r>
        <w:rPr>
          <w:rFonts w:hint="eastAsia"/>
        </w:rPr>
        <w:instrText xml:space="preserve"> </w:instrText>
      </w:r>
      <w:r>
        <w:instrText xml:space="preserve">PAGEREF _Toc231465202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"_Toc231465203" </w:instrText>
      </w:r>
      <w:r>
        <w:fldChar w:fldCharType="separate"/>
      </w:r>
      <w:r>
        <w:rPr>
          <w:rStyle w:val="23"/>
          <w:rFonts w:hint="eastAsia"/>
        </w:rPr>
        <w:t>（五）完善旅游要素服务体系</w:t>
      </w:r>
      <w:r>
        <w:rPr>
          <w:rFonts w:hint="eastAsia"/>
        </w:rPr>
        <w:tab/>
      </w:r>
      <w:r>
        <w:rPr>
          <w:rFonts w:hint="eastAsia"/>
        </w:rPr>
        <w:fldChar w:fldCharType="begin"/>
      </w:r>
      <w:r>
        <w:rPr>
          <w:rFonts w:hint="eastAsia"/>
        </w:rPr>
        <w:instrText xml:space="preserve"> </w:instrText>
      </w:r>
      <w:r>
        <w:instrText xml:space="preserve">PAGEREF _Toc231465203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"_Toc231465204" </w:instrText>
      </w:r>
      <w:r>
        <w:fldChar w:fldCharType="separate"/>
      </w:r>
      <w:r>
        <w:rPr>
          <w:rStyle w:val="23"/>
          <w:rFonts w:hint="eastAsia"/>
        </w:rPr>
        <w:t>六、完善现代文旅市场体系</w:t>
      </w:r>
      <w:r>
        <w:rPr>
          <w:rFonts w:hint="eastAsia"/>
        </w:rPr>
        <w:tab/>
      </w:r>
      <w:r>
        <w:rPr>
          <w:rFonts w:hint="eastAsia"/>
        </w:rPr>
        <w:fldChar w:fldCharType="begin"/>
      </w:r>
      <w:r>
        <w:rPr>
          <w:rFonts w:hint="eastAsia"/>
        </w:rPr>
        <w:instrText xml:space="preserve"> </w:instrText>
      </w:r>
      <w:r>
        <w:instrText xml:space="preserve">PAGEREF _Toc231465204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"_Toc231465205" </w:instrText>
      </w:r>
      <w:r>
        <w:fldChar w:fldCharType="separate"/>
      </w:r>
      <w:r>
        <w:rPr>
          <w:rStyle w:val="23"/>
          <w:rFonts w:hint="eastAsia"/>
        </w:rPr>
        <w:t>（一）培育壮大各类市场主体</w:t>
      </w:r>
      <w:r>
        <w:rPr>
          <w:rFonts w:hint="eastAsia"/>
        </w:rPr>
        <w:tab/>
      </w:r>
      <w:r>
        <w:rPr>
          <w:rFonts w:hint="eastAsia"/>
        </w:rPr>
        <w:fldChar w:fldCharType="begin"/>
      </w:r>
      <w:r>
        <w:rPr>
          <w:rFonts w:hint="eastAsia"/>
        </w:rPr>
        <w:instrText xml:space="preserve"> </w:instrText>
      </w:r>
      <w:r>
        <w:instrText xml:space="preserve">PAGEREF _Toc231465205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"_Toc231465206" </w:instrText>
      </w:r>
      <w:r>
        <w:fldChar w:fldCharType="separate"/>
      </w:r>
      <w:r>
        <w:rPr>
          <w:rStyle w:val="23"/>
          <w:rFonts w:hint="eastAsia"/>
        </w:rPr>
        <w:t>（二）构建新型文旅监管机制</w:t>
      </w:r>
      <w:r>
        <w:rPr>
          <w:rFonts w:hint="eastAsia"/>
        </w:rPr>
        <w:tab/>
      </w:r>
      <w:r>
        <w:rPr>
          <w:rFonts w:hint="eastAsia"/>
        </w:rPr>
        <w:fldChar w:fldCharType="begin"/>
      </w:r>
      <w:r>
        <w:rPr>
          <w:rFonts w:hint="eastAsia"/>
        </w:rPr>
        <w:instrText xml:space="preserve"> </w:instrText>
      </w:r>
      <w:r>
        <w:instrText xml:space="preserve">PAGEREF _Toc231465206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"_Toc231465207" </w:instrText>
      </w:r>
      <w:r>
        <w:fldChar w:fldCharType="separate"/>
      </w:r>
      <w:r>
        <w:rPr>
          <w:rStyle w:val="23"/>
          <w:rFonts w:hint="eastAsia"/>
        </w:rPr>
        <w:t>七、打造文旅发展开放生态</w:t>
      </w:r>
      <w:r>
        <w:rPr>
          <w:rFonts w:hint="eastAsia"/>
        </w:rPr>
        <w:tab/>
      </w:r>
      <w:r>
        <w:rPr>
          <w:rFonts w:hint="eastAsia"/>
        </w:rPr>
        <w:fldChar w:fldCharType="begin"/>
      </w:r>
      <w:r>
        <w:rPr>
          <w:rFonts w:hint="eastAsia"/>
        </w:rPr>
        <w:instrText xml:space="preserve"> </w:instrText>
      </w:r>
      <w:r>
        <w:instrText xml:space="preserve">PAGEREF _Toc231465207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"_Toc231465208" </w:instrText>
      </w:r>
      <w:r>
        <w:fldChar w:fldCharType="separate"/>
      </w:r>
      <w:r>
        <w:rPr>
          <w:rStyle w:val="23"/>
          <w:rFonts w:hint="eastAsia"/>
        </w:rPr>
        <w:t>（一）提升旅游国际化水平</w:t>
      </w:r>
      <w:r>
        <w:rPr>
          <w:rFonts w:hint="eastAsia"/>
        </w:rPr>
        <w:tab/>
      </w:r>
      <w:r>
        <w:rPr>
          <w:rFonts w:hint="eastAsia"/>
        </w:rPr>
        <w:fldChar w:fldCharType="begin"/>
      </w:r>
      <w:r>
        <w:rPr>
          <w:rFonts w:hint="eastAsia"/>
        </w:rPr>
        <w:instrText xml:space="preserve"> </w:instrText>
      </w:r>
      <w:r>
        <w:instrText xml:space="preserve">PAGEREF _Toc231465208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"_Toc231465209" </w:instrText>
      </w:r>
      <w:r>
        <w:fldChar w:fldCharType="separate"/>
      </w:r>
      <w:r>
        <w:rPr>
          <w:rStyle w:val="23"/>
          <w:rFonts w:hint="eastAsia"/>
        </w:rPr>
        <w:t>（二）构建多维度合作体系</w:t>
      </w:r>
      <w:r>
        <w:rPr>
          <w:rFonts w:hint="eastAsia"/>
        </w:rPr>
        <w:tab/>
      </w:r>
      <w:r>
        <w:rPr>
          <w:rFonts w:hint="eastAsia"/>
        </w:rPr>
        <w:fldChar w:fldCharType="begin"/>
      </w:r>
      <w:r>
        <w:rPr>
          <w:rFonts w:hint="eastAsia"/>
        </w:rPr>
        <w:instrText xml:space="preserve"> </w:instrText>
      </w:r>
      <w:r>
        <w:instrText xml:space="preserve">PAGEREF _Toc231465209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"_Toc231465210" </w:instrText>
      </w:r>
      <w:r>
        <w:fldChar w:fldCharType="separate"/>
      </w:r>
      <w:r>
        <w:rPr>
          <w:rStyle w:val="23"/>
          <w:rFonts w:hint="eastAsia"/>
        </w:rPr>
        <w:t>（三）深化两岸文旅交流合作</w:t>
      </w:r>
      <w:r>
        <w:rPr>
          <w:rFonts w:hint="eastAsia"/>
        </w:rPr>
        <w:tab/>
      </w:r>
      <w:r>
        <w:rPr>
          <w:rFonts w:hint="eastAsia"/>
        </w:rPr>
        <w:fldChar w:fldCharType="begin"/>
      </w:r>
      <w:r>
        <w:rPr>
          <w:rFonts w:hint="eastAsia"/>
        </w:rPr>
        <w:instrText xml:space="preserve"> </w:instrText>
      </w:r>
      <w:r>
        <w:instrText xml:space="preserve">PAGEREF _Toc231465210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"_Toc231465211" </w:instrText>
      </w:r>
      <w:r>
        <w:fldChar w:fldCharType="separate"/>
      </w:r>
      <w:r>
        <w:rPr>
          <w:rStyle w:val="23"/>
          <w:rFonts w:hint="eastAsia"/>
        </w:rPr>
        <w:t>八、加快智慧文旅建设</w:t>
      </w:r>
      <w:r>
        <w:rPr>
          <w:rFonts w:hint="eastAsia"/>
        </w:rPr>
        <w:tab/>
      </w:r>
      <w:r>
        <w:rPr>
          <w:rFonts w:hint="eastAsia"/>
        </w:rPr>
        <w:fldChar w:fldCharType="begin"/>
      </w:r>
      <w:r>
        <w:rPr>
          <w:rFonts w:hint="eastAsia"/>
        </w:rPr>
        <w:instrText xml:space="preserve"> </w:instrText>
      </w:r>
      <w:r>
        <w:instrText xml:space="preserve">PAGEREF _Toc231465211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"_Toc231465212" </w:instrText>
      </w:r>
      <w:r>
        <w:fldChar w:fldCharType="separate"/>
      </w:r>
      <w:r>
        <w:rPr>
          <w:rStyle w:val="23"/>
          <w:rFonts w:hint="eastAsia"/>
        </w:rPr>
        <w:t>（一）夯实智慧文旅数字底座</w:t>
      </w:r>
      <w:r>
        <w:rPr>
          <w:rFonts w:hint="eastAsia"/>
        </w:rPr>
        <w:tab/>
      </w:r>
      <w:r>
        <w:rPr>
          <w:rFonts w:hint="eastAsia"/>
        </w:rPr>
        <w:fldChar w:fldCharType="begin"/>
      </w:r>
      <w:r>
        <w:rPr>
          <w:rFonts w:hint="eastAsia"/>
        </w:rPr>
        <w:instrText xml:space="preserve"> </w:instrText>
      </w:r>
      <w:r>
        <w:instrText xml:space="preserve">PAGEREF _Toc231465212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pPr>
        <w:pStyle w:val="11"/>
        <w:rPr>
          <w:rFonts w:hint="eastAsia" w:asciiTheme="minorHAnsi" w:hAnsiTheme="minorHAnsi" w:eastAsiaTheme="minorEastAsia" w:cstheme="minorBidi"/>
          <w:sz w:val="22"/>
          <w14:ligatures w14:val="standardContextual"/>
        </w:rPr>
      </w:pPr>
      <w:r>
        <w:fldChar w:fldCharType="begin"/>
      </w:r>
      <w:r>
        <w:instrText xml:space="preserve"> HYPERLINK \l "_Toc231465213" </w:instrText>
      </w:r>
      <w:r>
        <w:fldChar w:fldCharType="separate"/>
      </w:r>
      <w:r>
        <w:rPr>
          <w:rStyle w:val="23"/>
          <w:rFonts w:hint="eastAsia"/>
          <w:shd w:val="clear" w:color="auto" w:fill="FFFFFF"/>
        </w:rPr>
        <w:t>（二）强化数字文旅成果转化</w:t>
      </w:r>
      <w:r>
        <w:rPr>
          <w:rFonts w:hint="eastAsia"/>
        </w:rPr>
        <w:tab/>
      </w:r>
      <w:r>
        <w:rPr>
          <w:rFonts w:hint="eastAsia"/>
        </w:rPr>
        <w:fldChar w:fldCharType="begin"/>
      </w:r>
      <w:r>
        <w:rPr>
          <w:rFonts w:hint="eastAsia"/>
        </w:rPr>
        <w:instrText xml:space="preserve"> </w:instrText>
      </w:r>
      <w:r>
        <w:instrText xml:space="preserve">PAGEREF _Toc231465213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pPr>
        <w:pStyle w:val="14"/>
        <w:rPr>
          <w:rFonts w:hint="eastAsia" w:asciiTheme="minorHAnsi" w:hAnsiTheme="minorHAnsi" w:eastAsiaTheme="minorEastAsia" w:cstheme="minorBidi"/>
          <w:sz w:val="22"/>
          <w14:ligatures w14:val="standardContextual"/>
        </w:rPr>
      </w:pPr>
      <w:r>
        <w:fldChar w:fldCharType="begin"/>
      </w:r>
      <w:r>
        <w:instrText xml:space="preserve"> HYPERLINK \l "_Toc231465214" </w:instrText>
      </w:r>
      <w:r>
        <w:fldChar w:fldCharType="separate"/>
      </w:r>
      <w:r>
        <w:rPr>
          <w:rStyle w:val="23"/>
          <w:rFonts w:hint="eastAsia"/>
        </w:rPr>
        <w:t>第四章  保障措施</w:t>
      </w:r>
      <w:r>
        <w:rPr>
          <w:rFonts w:hint="eastAsia"/>
        </w:rPr>
        <w:tab/>
      </w:r>
      <w:r>
        <w:rPr>
          <w:rFonts w:hint="eastAsia"/>
        </w:rPr>
        <w:fldChar w:fldCharType="begin"/>
      </w:r>
      <w:r>
        <w:rPr>
          <w:rFonts w:hint="eastAsia"/>
        </w:rPr>
        <w:instrText xml:space="preserve"> </w:instrText>
      </w:r>
      <w:r>
        <w:instrText xml:space="preserve">PAGEREF _Toc231465214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"_Toc231465215" </w:instrText>
      </w:r>
      <w:r>
        <w:fldChar w:fldCharType="separate"/>
      </w:r>
      <w:r>
        <w:rPr>
          <w:rStyle w:val="23"/>
          <w:rFonts w:hint="eastAsia"/>
        </w:rPr>
        <w:t>一、强化组织保障</w:t>
      </w:r>
      <w:r>
        <w:rPr>
          <w:rFonts w:hint="eastAsia"/>
        </w:rPr>
        <w:tab/>
      </w:r>
      <w:r>
        <w:rPr>
          <w:rFonts w:hint="eastAsia"/>
        </w:rPr>
        <w:fldChar w:fldCharType="begin"/>
      </w:r>
      <w:r>
        <w:rPr>
          <w:rFonts w:hint="eastAsia"/>
        </w:rPr>
        <w:instrText xml:space="preserve"> </w:instrText>
      </w:r>
      <w:r>
        <w:instrText xml:space="preserve">PAGEREF _Toc231465215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"_Toc231465216" </w:instrText>
      </w:r>
      <w:r>
        <w:fldChar w:fldCharType="separate"/>
      </w:r>
      <w:r>
        <w:rPr>
          <w:rStyle w:val="23"/>
          <w:rFonts w:hint="eastAsia"/>
        </w:rPr>
        <w:t>二、推进深化改革</w:t>
      </w:r>
      <w:r>
        <w:rPr>
          <w:rFonts w:hint="eastAsia"/>
        </w:rPr>
        <w:tab/>
      </w:r>
      <w:r>
        <w:rPr>
          <w:rFonts w:hint="eastAsia"/>
        </w:rPr>
        <w:fldChar w:fldCharType="begin"/>
      </w:r>
      <w:r>
        <w:rPr>
          <w:rFonts w:hint="eastAsia"/>
        </w:rPr>
        <w:instrText xml:space="preserve"> </w:instrText>
      </w:r>
      <w:r>
        <w:instrText xml:space="preserve">PAGEREF _Toc231465216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"_Toc231465217" </w:instrText>
      </w:r>
      <w:r>
        <w:fldChar w:fldCharType="separate"/>
      </w:r>
      <w:r>
        <w:rPr>
          <w:rStyle w:val="23"/>
          <w:rFonts w:hint="eastAsia"/>
        </w:rPr>
        <w:t>三、落实法治保障</w:t>
      </w:r>
      <w:r>
        <w:rPr>
          <w:rFonts w:hint="eastAsia"/>
        </w:rPr>
        <w:tab/>
      </w:r>
      <w:r>
        <w:rPr>
          <w:rFonts w:hint="eastAsia"/>
        </w:rPr>
        <w:fldChar w:fldCharType="begin"/>
      </w:r>
      <w:r>
        <w:rPr>
          <w:rFonts w:hint="eastAsia"/>
        </w:rPr>
        <w:instrText xml:space="preserve"> </w:instrText>
      </w:r>
      <w:r>
        <w:instrText xml:space="preserve">PAGEREF _Toc231465217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pPr>
        <w:pStyle w:val="16"/>
        <w:rPr>
          <w:rFonts w:hint="eastAsia" w:asciiTheme="minorHAnsi" w:hAnsiTheme="minorHAnsi" w:eastAsiaTheme="minorEastAsia" w:cstheme="minorBidi"/>
          <w:sz w:val="22"/>
          <w14:ligatures w14:val="standardContextual"/>
        </w:rPr>
      </w:pPr>
      <w:r>
        <w:fldChar w:fldCharType="begin"/>
      </w:r>
      <w:r>
        <w:instrText xml:space="preserve"> HYPERLINK \l "_Toc231465218" </w:instrText>
      </w:r>
      <w:r>
        <w:fldChar w:fldCharType="separate"/>
      </w:r>
      <w:r>
        <w:rPr>
          <w:rStyle w:val="23"/>
          <w:rFonts w:hint="eastAsia"/>
        </w:rPr>
        <w:t>四、创新金融支持</w:t>
      </w:r>
      <w:r>
        <w:rPr>
          <w:rFonts w:hint="eastAsia"/>
        </w:rPr>
        <w:tab/>
      </w:r>
      <w:r>
        <w:rPr>
          <w:rFonts w:hint="eastAsia"/>
        </w:rPr>
        <w:fldChar w:fldCharType="begin"/>
      </w:r>
      <w:r>
        <w:rPr>
          <w:rFonts w:hint="eastAsia"/>
        </w:rPr>
        <w:instrText xml:space="preserve"> </w:instrText>
      </w:r>
      <w:r>
        <w:instrText xml:space="preserve">PAGEREF _Toc231465218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pPr>
        <w:pStyle w:val="14"/>
      </w:pPr>
      <w:r>
        <w:fldChar w:fldCharType="end"/>
      </w:r>
    </w:p>
    <w:p>
      <w:pPr>
        <w:ind w:firstLine="0" w:firstLineChars="0"/>
        <w:jc w:val="center"/>
        <w:rPr>
          <w:rFonts w:hint="eastAsia" w:ascii="黑体" w:hAnsi="黑体" w:eastAsia="黑体"/>
        </w:rPr>
        <w:sectPr>
          <w:pgSz w:w="11906" w:h="16838"/>
          <w:pgMar w:top="1440" w:right="1800" w:bottom="1440" w:left="1800" w:header="851" w:footer="992" w:gutter="0"/>
          <w:pgNumType w:fmt="upperRoman" w:start="1"/>
          <w:cols w:space="425" w:num="1"/>
          <w:docGrid w:type="lines" w:linePitch="312" w:charSpace="0"/>
        </w:sectPr>
      </w:pPr>
    </w:p>
    <w:p>
      <w:pPr>
        <w:pStyle w:val="2"/>
        <w:spacing w:before="217" w:after="435"/>
      </w:pPr>
      <w:bookmarkStart w:id="0" w:name="_Toc231465174"/>
      <w:r>
        <w:rPr>
          <w:rFonts w:hint="eastAsia"/>
        </w:rPr>
        <w:t xml:space="preserve">第一章 </w:t>
      </w:r>
      <w:r>
        <w:t xml:space="preserve"> </w:t>
      </w:r>
      <w:r>
        <w:rPr>
          <w:rFonts w:hint="eastAsia"/>
        </w:rPr>
        <w:t>发展基础</w:t>
      </w:r>
      <w:bookmarkEnd w:id="0"/>
    </w:p>
    <w:p>
      <w:pPr>
        <w:pStyle w:val="3"/>
        <w:spacing w:before="217" w:after="217"/>
        <w:ind w:firstLine="643"/>
      </w:pPr>
      <w:bookmarkStart w:id="1" w:name="_Toc231465175"/>
      <w:r>
        <w:rPr>
          <w:rFonts w:hint="eastAsia"/>
        </w:rPr>
        <w:t>一、发展成就</w:t>
      </w:r>
      <w:bookmarkEnd w:id="1"/>
    </w:p>
    <w:p>
      <w:pPr>
        <w:pStyle w:val="4"/>
        <w:spacing w:before="217" w:after="217"/>
        <w:ind w:firstLine="643"/>
      </w:pPr>
      <w:bookmarkStart w:id="2" w:name="_Toc231465176"/>
      <w:r>
        <w:rPr>
          <w:rFonts w:hint="eastAsia"/>
        </w:rPr>
        <w:t>（一）文化事业蓬勃发展</w:t>
      </w:r>
      <w:bookmarkEnd w:id="2"/>
    </w:p>
    <w:p>
      <w:pPr>
        <w:ind w:firstLine="643"/>
      </w:pPr>
      <w:r>
        <w:rPr>
          <w:rFonts w:hint="eastAsia"/>
          <w:b/>
          <w:bCs/>
        </w:rPr>
        <w:t>文物保护和非遗传承成绩斐然。</w:t>
      </w:r>
      <w:r>
        <w:t>开展红色文物专项调查及第四次全国文物普查，编制重点文保单位保护规划。2021—2024 年累计争取专项资金 3.93 亿元，实施 284 个保护项目，连续 12 年居全省设区市首位</w:t>
      </w:r>
      <w:r>
        <w:rPr>
          <w:rFonts w:hint="eastAsia"/>
        </w:rPr>
        <w:t>。</w:t>
      </w:r>
      <w:r>
        <w:t>上杭县 “文物保险+服务” 试点入选全国首批文物事业高质量发展推介案例。成功创建国家级客家文化（闽西）生态保护区。</w:t>
      </w:r>
    </w:p>
    <w:p>
      <w:pPr>
        <w:ind w:firstLine="643"/>
      </w:pPr>
      <w:r>
        <w:rPr>
          <w:rFonts w:hint="eastAsia"/>
          <w:b/>
          <w:bCs/>
        </w:rPr>
        <w:t>公共文化服务设施更加完善。</w:t>
      </w:r>
      <w:r>
        <w:rPr>
          <w:rFonts w:hint="eastAsia"/>
        </w:rPr>
        <w:t>系统推进“市-县-乡-村”四级文化设施网络建设，公共文化服务均等</w:t>
      </w:r>
      <w:r>
        <w:rPr>
          <w:rFonts w:hint="eastAsia"/>
          <w:color w:val="auto"/>
        </w:rPr>
        <w:t>化、便利化水平提升。“十四五”建成县级图书馆、文化馆分馆</w:t>
      </w:r>
      <w:r>
        <w:rPr>
          <w:rFonts w:hint="eastAsia"/>
          <w:color w:val="auto"/>
          <w:lang w:val="en-US" w:eastAsia="zh-CN"/>
        </w:rPr>
        <w:t>128个，提升建设百姓大舞台乡村文化广场21个、</w:t>
      </w:r>
      <w:r>
        <w:rPr>
          <w:rFonts w:hint="eastAsia"/>
          <w:color w:val="auto"/>
        </w:rPr>
        <w:t>乡村戏台8个、旅游服务中心</w:t>
      </w:r>
      <w:r>
        <w:rPr>
          <w:rFonts w:hint="eastAsia"/>
          <w:color w:val="auto"/>
          <w:lang w:eastAsia="zh-CN"/>
        </w:rPr>
        <w:t>（点）</w:t>
      </w:r>
      <w:r>
        <w:rPr>
          <w:rFonts w:hint="eastAsia"/>
          <w:color w:val="auto"/>
        </w:rPr>
        <w:t>1</w:t>
      </w:r>
      <w:r>
        <w:rPr>
          <w:rFonts w:hint="eastAsia"/>
          <w:color w:val="auto"/>
          <w:lang w:val="en-US" w:eastAsia="zh-CN"/>
        </w:rPr>
        <w:t>3</w:t>
      </w:r>
      <w:r>
        <w:rPr>
          <w:rFonts w:hint="eastAsia"/>
          <w:color w:val="auto"/>
        </w:rPr>
        <w:t>个。综合文化站、图书馆</w:t>
      </w:r>
      <w:r>
        <w:rPr>
          <w:rFonts w:hint="eastAsia"/>
        </w:rPr>
        <w:t>及文化馆分馆实现乡镇（街道）全覆盖，基层文化服务能力显著增强。</w:t>
      </w:r>
    </w:p>
    <w:p>
      <w:pPr>
        <w:ind w:firstLine="643"/>
      </w:pPr>
      <w:r>
        <w:rPr>
          <w:rFonts w:hint="eastAsia"/>
          <w:b/>
          <w:bCs/>
        </w:rPr>
        <w:t>文艺创作与影视精品迭出</w:t>
      </w:r>
      <w:r>
        <w:rPr>
          <w:rFonts w:hint="eastAsia"/>
        </w:rPr>
        <w:t>。大型闽西汉剧《伯公灯》包揽第七届福建艺术节剧目一等奖等9项大奖，《王景弘》《魏侃夫》荣获福建省第九届艺术节优秀剧目</w:t>
      </w:r>
      <w:r>
        <w:rPr>
          <w:rFonts w:hint="eastAsia"/>
          <w:lang w:eastAsia="zh-CN"/>
        </w:rPr>
        <w:t>奖（</w:t>
      </w:r>
      <w:r>
        <w:rPr>
          <w:rFonts w:hint="eastAsia"/>
        </w:rPr>
        <w:t>一等奖</w:t>
      </w:r>
      <w:r>
        <w:rPr>
          <w:rFonts w:hint="eastAsia"/>
          <w:lang w:eastAsia="zh-CN"/>
        </w:rPr>
        <w:t>）</w:t>
      </w:r>
      <w:r>
        <w:rPr>
          <w:rFonts w:hint="eastAsia"/>
        </w:rPr>
        <w:t>。电视剧《绝密使命》先后荣获中宣部 “五个一工程”优秀作品奖、中国电视剧“飞天奖”优秀电视剧奖。歌曲《光芒》获福建省第十届百花文艺奖一等奖。</w:t>
      </w:r>
    </w:p>
    <w:p>
      <w:pPr>
        <w:pStyle w:val="4"/>
        <w:spacing w:before="217" w:after="217"/>
        <w:ind w:firstLine="643"/>
      </w:pPr>
      <w:bookmarkStart w:id="3" w:name="_Toc231465177"/>
      <w:r>
        <w:rPr>
          <w:rFonts w:hint="eastAsia"/>
        </w:rPr>
        <w:t>（二）文旅产业提质增效</w:t>
      </w:r>
      <w:bookmarkEnd w:id="3"/>
    </w:p>
    <w:p>
      <w:pPr>
        <w:ind w:firstLine="643"/>
      </w:pPr>
      <w:r>
        <w:rPr>
          <w:rFonts w:hint="eastAsia"/>
          <w:b/>
          <w:bCs/>
        </w:rPr>
        <w:t>产业规模稳步扩张</w:t>
      </w:r>
      <w:r>
        <w:rPr>
          <w:rFonts w:hint="eastAsia"/>
        </w:rPr>
        <w:t>。文化和旅游产业经受疫情冲击后快速恢复发展</w:t>
      </w:r>
      <w:r>
        <w:rPr>
          <w:rFonts w:hint="eastAsia"/>
          <w:color w:val="auto"/>
        </w:rPr>
        <w:t>，202</w:t>
      </w:r>
      <w:r>
        <w:rPr>
          <w:rFonts w:hint="eastAsia"/>
          <w:color w:val="auto"/>
          <w:lang w:val="en-US" w:eastAsia="zh-CN"/>
        </w:rPr>
        <w:t>5</w:t>
      </w:r>
      <w:r>
        <w:rPr>
          <w:rFonts w:hint="eastAsia"/>
          <w:color w:val="auto"/>
        </w:rPr>
        <w:t>年文化产业产值</w:t>
      </w:r>
      <w:r>
        <w:rPr>
          <w:rFonts w:hint="eastAsia"/>
          <w:color w:val="auto"/>
          <w:lang w:val="en-US" w:eastAsia="zh-CN"/>
        </w:rPr>
        <w:t>486.17</w:t>
      </w:r>
      <w:r>
        <w:rPr>
          <w:rFonts w:hint="eastAsia"/>
          <w:color w:val="auto"/>
        </w:rPr>
        <w:t>亿元，较2021年增长</w:t>
      </w:r>
      <w:r>
        <w:rPr>
          <w:rFonts w:hint="eastAsia"/>
          <w:color w:val="auto"/>
          <w:lang w:val="en-US" w:eastAsia="zh-CN"/>
        </w:rPr>
        <w:t>41</w:t>
      </w:r>
      <w:r>
        <w:rPr>
          <w:rFonts w:hint="eastAsia"/>
          <w:color w:val="auto"/>
        </w:rPr>
        <w:t>%；接待游客</w:t>
      </w:r>
      <w:r>
        <w:rPr>
          <w:rFonts w:hint="eastAsia"/>
          <w:color w:val="auto"/>
          <w:lang w:val="en-US" w:eastAsia="zh-CN"/>
        </w:rPr>
        <w:t>7927.52</w:t>
      </w:r>
      <w:r>
        <w:rPr>
          <w:rFonts w:hint="eastAsia"/>
          <w:color w:val="auto"/>
        </w:rPr>
        <w:t>万人次、旅游总花费</w:t>
      </w:r>
      <w:r>
        <w:rPr>
          <w:rFonts w:hint="eastAsia"/>
          <w:color w:val="auto"/>
          <w:lang w:val="en-US" w:eastAsia="zh-CN"/>
        </w:rPr>
        <w:t>776.85</w:t>
      </w:r>
      <w:r>
        <w:rPr>
          <w:rFonts w:hint="eastAsia"/>
          <w:color w:val="auto"/>
        </w:rPr>
        <w:t>亿元，较2021年分别增长</w:t>
      </w:r>
      <w:r>
        <w:rPr>
          <w:rFonts w:hint="eastAsia"/>
          <w:color w:val="auto"/>
          <w:lang w:val="en-US" w:eastAsia="zh-CN"/>
        </w:rPr>
        <w:t>65.1</w:t>
      </w:r>
      <w:r>
        <w:rPr>
          <w:rFonts w:hint="eastAsia"/>
          <w:color w:val="auto"/>
        </w:rPr>
        <w:t>%、</w:t>
      </w:r>
      <w:r>
        <w:rPr>
          <w:rFonts w:hint="eastAsia"/>
          <w:color w:val="auto"/>
          <w:lang w:val="en-US" w:eastAsia="zh-CN"/>
        </w:rPr>
        <w:t>69.1</w:t>
      </w:r>
      <w:r>
        <w:rPr>
          <w:rFonts w:hint="eastAsia"/>
          <w:color w:val="auto"/>
        </w:rPr>
        <w:t>%，增速高于全国同期平均水平。</w:t>
      </w:r>
    </w:p>
    <w:p>
      <w:pPr>
        <w:ind w:firstLine="643"/>
      </w:pPr>
      <w:r>
        <w:rPr>
          <w:b/>
          <w:bCs/>
        </w:rPr>
        <w:t>品牌创建卓有成效</w:t>
      </w:r>
      <w:r>
        <w:t>。龙岩地质公园纳入世界地质公园名录，</w:t>
      </w:r>
      <w:r>
        <w:rPr>
          <w:rFonts w:hint="eastAsia"/>
        </w:rPr>
        <w:t>连城</w:t>
      </w:r>
      <w:r>
        <w:t>冠豸山</w:t>
      </w:r>
      <w:r>
        <w:rPr>
          <w:rFonts w:hint="eastAsia"/>
        </w:rPr>
        <w:t>景区</w:t>
      </w:r>
      <w:r>
        <w:t>获评5A级景区，5A级景区数量居全省首位。打造7条红色旅游精品线路，创建24家A级红色旅游景区，古田镇列为全国红色旅游融合发展试点单位。恋城1908文创街区入选国家级夜间文化和旅游消费集聚区，长汀店头街获评国家级旅游休闲街区。</w:t>
      </w:r>
    </w:p>
    <w:p>
      <w:pPr>
        <w:pStyle w:val="4"/>
        <w:spacing w:before="217" w:after="217"/>
        <w:ind w:firstLine="643"/>
      </w:pPr>
      <w:bookmarkStart w:id="4" w:name="_Toc231465178"/>
      <w:r>
        <w:rPr>
          <w:rFonts w:hint="eastAsia"/>
        </w:rPr>
        <w:t>（三）广电新闻出版事业有序推进</w:t>
      </w:r>
      <w:bookmarkEnd w:id="4"/>
    </w:p>
    <w:p>
      <w:pPr>
        <w:ind w:firstLine="643"/>
      </w:pPr>
      <w:r>
        <w:rPr>
          <w:rFonts w:hint="eastAsia"/>
          <w:b/>
          <w:bCs/>
        </w:rPr>
        <w:t>广电公共服务体系稳步提升。</w:t>
      </w:r>
      <w:r>
        <w:rPr>
          <w:rFonts w:hint="eastAsia"/>
        </w:rPr>
        <w:t>推进全市应急广播体系建设，建成市级应急广播平台和上杭、武平、长汀、连城、漳平县级应急广播体系，实现与省级平台对接。完成全市10座高山机房数字电视700兆赫频率迁移。</w:t>
      </w:r>
    </w:p>
    <w:p>
      <w:pPr>
        <w:ind w:firstLine="643"/>
      </w:pPr>
      <w:r>
        <w:rPr>
          <w:rFonts w:hint="eastAsia"/>
          <w:b/>
          <w:bCs/>
        </w:rPr>
        <w:t>新闻出版事业持续发展。</w:t>
      </w:r>
      <w:r>
        <w:rPr>
          <w:rFonts w:hint="eastAsia"/>
        </w:rPr>
        <w:t>印刷发行行业稳定发展，全市印刷企业108家，发行企业316家。版权发展有效提升，创建省级版权工作服务站5家、省级版权示范单位2家、省级版权示范园区1家。</w:t>
      </w:r>
    </w:p>
    <w:p>
      <w:pPr>
        <w:pStyle w:val="4"/>
        <w:spacing w:before="217" w:after="217"/>
        <w:ind w:firstLine="643"/>
      </w:pPr>
      <w:bookmarkStart w:id="5" w:name="_Toc231465179"/>
      <w:r>
        <w:rPr>
          <w:rFonts w:hint="eastAsia"/>
        </w:rPr>
        <w:t>（四）区域合作全面拓展</w:t>
      </w:r>
      <w:bookmarkEnd w:id="5"/>
    </w:p>
    <w:p>
      <w:pPr>
        <w:ind w:firstLine="643"/>
        <w:rPr>
          <w:shd w:val="clear" w:color="auto" w:fill="FFFFFF"/>
        </w:rPr>
      </w:pPr>
      <w:bookmarkStart w:id="6" w:name="OLE_LINK2"/>
      <w:r>
        <w:rPr>
          <w:b/>
          <w:bCs/>
          <w:shd w:val="clear" w:color="auto" w:fill="FFFFFF"/>
        </w:rPr>
        <w:t>对台交流持续深化</w:t>
      </w:r>
      <w:r>
        <w:rPr>
          <w:rFonts w:hint="eastAsia"/>
          <w:b/>
          <w:bCs/>
          <w:shd w:val="clear" w:color="auto" w:fill="FFFFFF"/>
        </w:rPr>
        <w:t>。</w:t>
      </w:r>
      <w:r>
        <w:rPr>
          <w:shd w:val="clear" w:color="auto" w:fill="FFFFFF"/>
        </w:rPr>
        <w:t>提升客家族谱博物馆、汀州客家首府等海峡两岸交流基地服务功能，构建“一县一品”对台文化交流平台，成功举办“两岸客家亲 中华心连心”海峡客家中秋文艺晚会、第十六届海峡论坛·两岸（永定）客家文化交流活动等。</w:t>
      </w:r>
    </w:p>
    <w:p>
      <w:pPr>
        <w:ind w:firstLine="643"/>
        <w:rPr>
          <w:color w:val="auto"/>
          <w:shd w:val="clear" w:color="auto" w:fill="FFFFFF"/>
        </w:rPr>
      </w:pPr>
      <w:r>
        <w:rPr>
          <w:b/>
          <w:bCs/>
          <w:shd w:val="clear" w:color="auto" w:fill="FFFFFF"/>
        </w:rPr>
        <w:t>广龙文旅合作成果丰硕</w:t>
      </w:r>
      <w:r>
        <w:rPr>
          <w:rFonts w:hint="eastAsia"/>
          <w:shd w:val="clear" w:color="auto" w:fill="FFFFFF"/>
        </w:rPr>
        <w:t>。</w:t>
      </w:r>
      <w:r>
        <w:rPr>
          <w:shd w:val="clear" w:color="auto" w:fill="FFFFFF"/>
        </w:rPr>
        <w:t>持续开展“百万老广游龙岩”系</w:t>
      </w:r>
      <w:r>
        <w:rPr>
          <w:color w:val="auto"/>
          <w:shd w:val="clear" w:color="auto" w:fill="FFFFFF"/>
        </w:rPr>
        <w:t>列活动，面向广州市民推出A级景区首道门票免费等政策， 202</w:t>
      </w:r>
      <w:r>
        <w:rPr>
          <w:rFonts w:hint="eastAsia"/>
          <w:color w:val="auto"/>
          <w:shd w:val="clear" w:color="auto" w:fill="FFFFFF"/>
          <w:lang w:val="en-US" w:eastAsia="zh-CN"/>
        </w:rPr>
        <w:t>5</w:t>
      </w:r>
      <w:r>
        <w:rPr>
          <w:color w:val="auto"/>
          <w:shd w:val="clear" w:color="auto" w:fill="FFFFFF"/>
        </w:rPr>
        <w:t>年接待广州游客122.</w:t>
      </w:r>
      <w:r>
        <w:rPr>
          <w:rFonts w:hint="eastAsia"/>
          <w:color w:val="auto"/>
          <w:shd w:val="clear" w:color="auto" w:fill="FFFFFF"/>
          <w:lang w:val="en-US" w:eastAsia="zh-CN"/>
        </w:rPr>
        <w:t>38</w:t>
      </w:r>
      <w:r>
        <w:rPr>
          <w:color w:val="auto"/>
          <w:shd w:val="clear" w:color="auto" w:fill="FFFFFF"/>
        </w:rPr>
        <w:t>万人次，较2022年增加4倍。</w:t>
      </w:r>
    </w:p>
    <w:p>
      <w:pPr>
        <w:ind w:firstLine="643"/>
        <w:rPr>
          <w:b/>
          <w:bCs/>
          <w:color w:val="auto"/>
        </w:rPr>
      </w:pPr>
      <w:r>
        <w:rPr>
          <w:b/>
          <w:bCs/>
          <w:color w:val="auto"/>
          <w:shd w:val="clear" w:color="auto" w:fill="FFFFFF"/>
        </w:rPr>
        <w:t>厦龙文旅协作持续深化</w:t>
      </w:r>
      <w:r>
        <w:rPr>
          <w:rFonts w:hint="eastAsia"/>
          <w:color w:val="auto"/>
          <w:shd w:val="clear" w:color="auto" w:fill="FFFFFF"/>
        </w:rPr>
        <w:t>。</w:t>
      </w:r>
      <w:r>
        <w:rPr>
          <w:color w:val="auto"/>
          <w:shd w:val="clear" w:color="auto" w:fill="FFFFFF"/>
        </w:rPr>
        <w:t>联合举办文旅招商推介会、“百万A萌郎游龙岩”、厦龙“小小文旅推荐官”互访交流、游客互送、非遗美食交流、文艺院团交流等活动，202</w:t>
      </w:r>
      <w:r>
        <w:rPr>
          <w:rFonts w:hint="eastAsia"/>
          <w:color w:val="auto"/>
          <w:shd w:val="clear" w:color="auto" w:fill="FFFFFF"/>
          <w:lang w:val="en-US" w:eastAsia="zh-CN"/>
        </w:rPr>
        <w:t>5</w:t>
      </w:r>
      <w:r>
        <w:rPr>
          <w:color w:val="auto"/>
          <w:shd w:val="clear" w:color="auto" w:fill="FFFFFF"/>
        </w:rPr>
        <w:t>年接待厦门游客</w:t>
      </w:r>
      <w:r>
        <w:rPr>
          <w:rFonts w:hint="eastAsia"/>
          <w:color w:val="auto"/>
          <w:shd w:val="clear" w:color="auto" w:fill="FFFFFF"/>
          <w:lang w:val="en-US" w:eastAsia="zh-CN"/>
        </w:rPr>
        <w:t>1141.57</w:t>
      </w:r>
      <w:r>
        <w:rPr>
          <w:color w:val="auto"/>
          <w:shd w:val="clear" w:color="auto" w:fill="FFFFFF"/>
        </w:rPr>
        <w:t>万人次，同比增长</w:t>
      </w:r>
      <w:r>
        <w:rPr>
          <w:rFonts w:hint="eastAsia"/>
          <w:color w:val="auto"/>
          <w:shd w:val="clear" w:color="auto" w:fill="FFFFFF"/>
          <w:lang w:val="en-US" w:eastAsia="zh-CN"/>
        </w:rPr>
        <w:t>19</w:t>
      </w:r>
      <w:r>
        <w:rPr>
          <w:color w:val="auto"/>
          <w:shd w:val="clear" w:color="auto" w:fill="FFFFFF"/>
        </w:rPr>
        <w:t>%。</w:t>
      </w:r>
    </w:p>
    <w:bookmarkEnd w:id="6"/>
    <w:p>
      <w:pPr>
        <w:pStyle w:val="3"/>
        <w:spacing w:before="217" w:after="217"/>
        <w:ind w:firstLine="643"/>
      </w:pPr>
      <w:bookmarkStart w:id="7" w:name="_Toc231465180"/>
      <w:r>
        <w:rPr>
          <w:rFonts w:hint="eastAsia"/>
        </w:rPr>
        <w:t>二、存在问题</w:t>
      </w:r>
      <w:bookmarkEnd w:id="7"/>
    </w:p>
    <w:p>
      <w:pPr>
        <w:ind w:firstLine="640"/>
      </w:pPr>
      <w:r>
        <w:t>一是整体旅游形象不突出，各县（市、区）“各自为战”，缺乏全市“一盘棋”统筹</w:t>
      </w:r>
      <w:r>
        <w:rPr>
          <w:rFonts w:hint="eastAsia"/>
        </w:rPr>
        <w:t>，“清新福建·五彩龙岩”城市品牌知名度和影响力未达到预期。</w:t>
      </w:r>
      <w:r>
        <w:t>二是业态供给与消费结构存在短板，现有旅游业态以观光</w:t>
      </w:r>
      <w:r>
        <w:rPr>
          <w:rFonts w:hint="eastAsia"/>
        </w:rPr>
        <w:t>游览</w:t>
      </w:r>
      <w:r>
        <w:t>为主，</w:t>
      </w:r>
      <w:r>
        <w:rPr>
          <w:rFonts w:hint="eastAsia"/>
        </w:rPr>
        <w:t>高品质产品供给和创意营销不足</w:t>
      </w:r>
      <w:r>
        <w:t>，二次消费占比较低</w:t>
      </w:r>
      <w:r>
        <w:rPr>
          <w:rFonts w:hint="eastAsia"/>
        </w:rPr>
        <w:t>。</w:t>
      </w:r>
      <w:r>
        <w:t>三是配套服务设施不够完善，</w:t>
      </w:r>
      <w:r>
        <w:rPr>
          <w:rFonts w:hint="eastAsia"/>
        </w:rPr>
        <w:t>缺少高标准市级图书馆</w:t>
      </w:r>
      <w:r>
        <w:t>和</w:t>
      </w:r>
      <w:r>
        <w:rPr>
          <w:rFonts w:hint="eastAsia"/>
          <w:color w:val="auto"/>
          <w:lang w:eastAsia="zh-CN"/>
        </w:rPr>
        <w:t>文化艺术大</w:t>
      </w:r>
      <w:r>
        <w:rPr>
          <w:color w:val="auto"/>
        </w:rPr>
        <w:t>剧院</w:t>
      </w:r>
      <w:r>
        <w:t>，城乡公共文化资源配置不均衡，“快进慢游”交通网络有待完善</w:t>
      </w:r>
      <w:r>
        <w:rPr>
          <w:rFonts w:hint="eastAsia"/>
        </w:rPr>
        <w:t>。</w:t>
      </w:r>
      <w:r>
        <w:t>四是市场体系有待健全，文旅企业“小散弱”问题突出，缺少龙头骨干企业。</w:t>
      </w:r>
      <w:r>
        <w:br w:type="page"/>
      </w:r>
    </w:p>
    <w:p>
      <w:pPr>
        <w:pStyle w:val="2"/>
        <w:spacing w:before="217" w:after="435"/>
      </w:pPr>
      <w:bookmarkStart w:id="8" w:name="_Toc231465181"/>
      <w:r>
        <w:rPr>
          <w:rFonts w:hint="eastAsia"/>
        </w:rPr>
        <w:t>第二章  总体要求</w:t>
      </w:r>
      <w:bookmarkEnd w:id="8"/>
    </w:p>
    <w:p>
      <w:pPr>
        <w:pStyle w:val="3"/>
        <w:spacing w:before="217" w:after="217"/>
        <w:ind w:firstLine="643"/>
      </w:pPr>
      <w:bookmarkStart w:id="9" w:name="_Toc231465182"/>
      <w:r>
        <w:rPr>
          <w:rFonts w:hint="eastAsia"/>
        </w:rPr>
        <w:t>一、指导思想</w:t>
      </w:r>
      <w:bookmarkEnd w:id="9"/>
    </w:p>
    <w:p>
      <w:pPr>
        <w:ind w:firstLine="640"/>
      </w:pPr>
      <w:r>
        <w:rPr>
          <w:rFonts w:hint="eastAsia" w:ascii="仿宋_GB2312" w:hAnsi="仿宋_GB2312"/>
          <w:szCs w:val="32"/>
        </w:rPr>
        <w:t>坚持以习近平新时代中国特色社会主义思想为指导，</w:t>
      </w:r>
      <w:r>
        <w:rPr>
          <w:rFonts w:hint="eastAsia"/>
        </w:rPr>
        <w:t>深入贯彻党的二十大和二十届历次全会精神，落实福建省建设“更高水平文化强省、打造世界知名旅游目的地、培育文化旅游支柱产业”目标和龙岩市委“打好五张牌、建设新龙岩”工作部署，</w:t>
      </w:r>
      <w:r>
        <w:t>以高质量发展为主题，以融合创新为动力，以满足人民美好生活需要为目的，把握革命老区振兴、</w:t>
      </w:r>
      <w:r>
        <w:rPr>
          <w:rFonts w:hint="eastAsia"/>
          <w:lang w:eastAsia="zh-CN"/>
        </w:rPr>
        <w:t>文化和旅游部</w:t>
      </w:r>
      <w:r>
        <w:t>对口帮扶、广龙对口合作、厦龙山海协作机遇，加快构建现代化文旅产业体系，助力打造</w:t>
      </w:r>
      <w:r>
        <w:rPr>
          <w:rFonts w:hint="eastAsia"/>
          <w:color w:val="auto"/>
          <w:lang w:eastAsia="zh-CN"/>
        </w:rPr>
        <w:t>区域</w:t>
      </w:r>
      <w:r>
        <w:rPr>
          <w:color w:val="auto"/>
        </w:rPr>
        <w:t>文旅康</w:t>
      </w:r>
      <w:r>
        <w:t>养消费中心，建成红色文化之城、生态康养之城、世界知名旅游目的地。</w:t>
      </w:r>
    </w:p>
    <w:p>
      <w:pPr>
        <w:pStyle w:val="3"/>
        <w:spacing w:before="217" w:after="217"/>
        <w:ind w:firstLine="643"/>
      </w:pPr>
      <w:bookmarkStart w:id="10" w:name="_Toc231465183"/>
      <w:r>
        <w:rPr>
          <w:rFonts w:hint="eastAsia"/>
        </w:rPr>
        <w:t>二、发展目标</w:t>
      </w:r>
      <w:bookmarkEnd w:id="10"/>
    </w:p>
    <w:p>
      <w:pPr>
        <w:ind w:firstLine="640"/>
      </w:pPr>
      <w:r>
        <w:rPr>
          <w:rFonts w:hint="eastAsia" w:hAnsi="仿宋_GB2312"/>
        </w:rPr>
        <w:t>到2030年，</w:t>
      </w:r>
      <w:r>
        <w:rPr>
          <w:rFonts w:hint="eastAsia" w:cs="仿宋_GB2312"/>
        </w:rPr>
        <w:t>文化事业、文化产业和旅游业高质量发展机制</w:t>
      </w:r>
      <w:r>
        <w:rPr>
          <w:rFonts w:hint="eastAsia" w:cs="仿宋_GB2312"/>
          <w:lang w:val="zh-CN"/>
        </w:rPr>
        <w:t>基本形成，</w:t>
      </w:r>
      <w:r>
        <w:rPr>
          <w:rFonts w:hint="eastAsia"/>
        </w:rPr>
        <w:t>公共文化服务均等化水平显著提高，客家文化（闽西）生态保护区建设中期目标顺利完成，“五大游”品牌具备全国知名度，文化旅游业支柱产业地位更加巩固。</w:t>
      </w:r>
    </w:p>
    <w:p>
      <w:pPr>
        <w:spacing w:line="600" w:lineRule="exact"/>
        <w:ind w:firstLine="643"/>
        <w:rPr>
          <w:rFonts w:ascii="仿宋_GB2312"/>
          <w:bCs/>
          <w:szCs w:val="32"/>
        </w:rPr>
      </w:pPr>
      <w:r>
        <w:rPr>
          <w:rFonts w:hint="eastAsia"/>
          <w:b/>
          <w:bCs/>
        </w:rPr>
        <w:t>文旅公共服务体系更加完善。</w:t>
      </w:r>
      <w:r>
        <w:rPr>
          <w:rFonts w:hint="eastAsia"/>
        </w:rPr>
        <w:t>城乡公共文化服务基本实现均衡发展，市、县、乡、村四级公共服务设施布局更加合理，形成优质文化资源直达基层机制，群众文化活动丰富多彩。</w:t>
      </w:r>
    </w:p>
    <w:p>
      <w:pPr>
        <w:ind w:firstLine="643"/>
      </w:pPr>
      <w:r>
        <w:rPr>
          <w:rFonts w:hint="eastAsia"/>
          <w:b/>
          <w:bCs/>
          <w:szCs w:val="32"/>
        </w:rPr>
        <w:t>文化遗产保护扩容提质。</w:t>
      </w:r>
      <w:r>
        <w:rPr>
          <w:rFonts w:hint="eastAsia"/>
        </w:rPr>
        <w:t>实现革命文物集中连片保护，国家级客家文化（闽西）生态保护区重点区域的非物质文化遗产、物质文化遗产、自然遗产的整体性保护效果明显。</w:t>
      </w:r>
    </w:p>
    <w:p>
      <w:pPr>
        <w:ind w:firstLine="643"/>
        <w:rPr>
          <w:rFonts w:hint="eastAsia"/>
          <w:lang w:eastAsia="zh-CN"/>
        </w:rPr>
      </w:pPr>
      <w:bookmarkStart w:id="11" w:name="OLE_LINK8"/>
      <w:r>
        <w:rPr>
          <w:rFonts w:hint="eastAsia"/>
          <w:b/>
          <w:bCs/>
        </w:rPr>
        <w:t>文化产业发展质量不断提升</w:t>
      </w:r>
      <w:bookmarkEnd w:id="11"/>
      <w:r>
        <w:rPr>
          <w:rFonts w:hint="eastAsia"/>
          <w:b/>
          <w:bCs/>
        </w:rPr>
        <w:t>。</w:t>
      </w:r>
      <w:r>
        <w:rPr>
          <w:rFonts w:hint="eastAsia"/>
        </w:rPr>
        <w:t>传统文化产业创新转型，文化产业新业态不断涌现，形成结构合理、特色鲜明、竞争力强的现代化文化产业体系，文化产业规模持续壮大</w:t>
      </w:r>
      <w:r>
        <w:rPr>
          <w:rFonts w:hint="eastAsia"/>
          <w:lang w:eastAsia="zh-CN"/>
        </w:rPr>
        <w:t>。</w:t>
      </w:r>
    </w:p>
    <w:p>
      <w:pPr>
        <w:ind w:firstLine="643"/>
      </w:pPr>
      <w:r>
        <w:rPr>
          <w:rFonts w:hint="eastAsia"/>
          <w:b/>
          <w:bCs/>
        </w:rPr>
        <w:t>旅游产业支柱地位更加巩固。</w:t>
      </w:r>
      <w:r>
        <w:rPr>
          <w:rFonts w:hint="eastAsia"/>
        </w:rPr>
        <w:t>“五彩龙岩”城市IP更加突出，客家“非遗奇妙夜”、文旅“客家美食宴”大赛等活动品牌全面打响，“五大</w:t>
      </w:r>
      <w:r>
        <w:rPr>
          <w:rFonts w:hint="eastAsia"/>
          <w:color w:val="auto"/>
        </w:rPr>
        <w:t>游”品牌具备全国知名度，旅游全链条服务质量显著提升。到2030年，力争旅游接待总人数</w:t>
      </w:r>
      <w:r>
        <w:rPr>
          <w:rFonts w:hint="eastAsia"/>
          <w:color w:val="auto"/>
          <w:lang w:eastAsia="zh-CN"/>
        </w:rPr>
        <w:t>、</w:t>
      </w:r>
      <w:r>
        <w:rPr>
          <w:rFonts w:hint="eastAsia"/>
          <w:color w:val="auto"/>
        </w:rPr>
        <w:t>游客旅游总花费</w:t>
      </w:r>
      <w:r>
        <w:rPr>
          <w:rFonts w:hint="eastAsia"/>
          <w:color w:val="auto"/>
          <w:lang w:eastAsia="zh-CN"/>
        </w:rPr>
        <w:t>增长</w:t>
      </w:r>
      <w:r>
        <w:rPr>
          <w:rFonts w:hint="eastAsia"/>
          <w:color w:val="auto"/>
          <w:lang w:val="en-US" w:eastAsia="zh-CN"/>
        </w:rPr>
        <w:t>4.5~5.5%</w:t>
      </w:r>
      <w:r>
        <w:rPr>
          <w:rFonts w:hint="eastAsia"/>
          <w:color w:val="auto"/>
        </w:rPr>
        <w:t>。</w:t>
      </w:r>
    </w:p>
    <w:p>
      <w:pPr>
        <w:ind w:firstLine="640"/>
        <w:jc w:val="center"/>
        <w:rPr>
          <w:rFonts w:hint="eastAsia" w:ascii="黑体" w:hAnsi="黑体" w:eastAsia="黑体"/>
          <w:szCs w:val="32"/>
        </w:rPr>
      </w:pPr>
      <w:r>
        <w:rPr>
          <w:rFonts w:hint="eastAsia" w:ascii="黑体" w:hAnsi="黑体" w:eastAsia="黑体"/>
          <w:szCs w:val="32"/>
        </w:rPr>
        <w:t>“十五五”期间文化和旅游有关指标</w:t>
      </w:r>
    </w:p>
    <w:tbl>
      <w:tblPr>
        <w:tblStyle w:val="26"/>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514"/>
        <w:gridCol w:w="3459"/>
        <w:gridCol w:w="1165"/>
        <w:gridCol w:w="157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508" w:type="dxa"/>
            <w:vAlign w:val="center"/>
          </w:tcPr>
          <w:p>
            <w:pPr>
              <w:spacing w:line="240" w:lineRule="auto"/>
              <w:ind w:firstLine="0" w:firstLineChars="0"/>
              <w:jc w:val="center"/>
              <w:rPr>
                <w:rFonts w:ascii="仿宋_GB2312"/>
                <w:sz w:val="28"/>
                <w:szCs w:val="28"/>
              </w:rPr>
            </w:pPr>
            <w:bookmarkStart w:id="12" w:name="_Hlk87378102"/>
            <w:r>
              <w:rPr>
                <w:rFonts w:hint="eastAsia" w:ascii="仿宋_GB2312"/>
                <w:sz w:val="28"/>
                <w:szCs w:val="28"/>
              </w:rPr>
              <w:t>类别</w:t>
            </w:r>
          </w:p>
        </w:tc>
        <w:tc>
          <w:tcPr>
            <w:tcW w:w="514" w:type="dxa"/>
            <w:vAlign w:val="center"/>
          </w:tcPr>
          <w:p>
            <w:pPr>
              <w:spacing w:line="240" w:lineRule="auto"/>
              <w:ind w:firstLine="0" w:firstLineChars="0"/>
              <w:jc w:val="center"/>
              <w:rPr>
                <w:rFonts w:ascii="仿宋_GB2312"/>
                <w:sz w:val="28"/>
                <w:szCs w:val="28"/>
              </w:rPr>
            </w:pPr>
            <w:r>
              <w:rPr>
                <w:rFonts w:hint="eastAsia" w:ascii="仿宋_GB2312"/>
                <w:sz w:val="28"/>
                <w:szCs w:val="28"/>
              </w:rPr>
              <w:t>序号</w:t>
            </w:r>
          </w:p>
        </w:tc>
        <w:tc>
          <w:tcPr>
            <w:tcW w:w="3459" w:type="dxa"/>
            <w:vAlign w:val="center"/>
          </w:tcPr>
          <w:p>
            <w:pPr>
              <w:spacing w:line="240" w:lineRule="auto"/>
              <w:ind w:firstLine="0" w:firstLineChars="0"/>
              <w:jc w:val="center"/>
              <w:rPr>
                <w:rFonts w:ascii="仿宋_GB2312"/>
                <w:sz w:val="28"/>
                <w:szCs w:val="28"/>
              </w:rPr>
            </w:pPr>
            <w:r>
              <w:rPr>
                <w:rFonts w:hint="eastAsia" w:ascii="仿宋_GB2312"/>
                <w:sz w:val="28"/>
                <w:szCs w:val="28"/>
              </w:rPr>
              <w:t>指标名称</w:t>
            </w:r>
          </w:p>
        </w:tc>
        <w:tc>
          <w:tcPr>
            <w:tcW w:w="1165" w:type="dxa"/>
            <w:vAlign w:val="center"/>
          </w:tcPr>
          <w:p>
            <w:pPr>
              <w:spacing w:line="240" w:lineRule="auto"/>
              <w:ind w:firstLine="0" w:firstLineChars="0"/>
              <w:jc w:val="center"/>
              <w:rPr>
                <w:rFonts w:ascii="仿宋_GB2312"/>
                <w:sz w:val="28"/>
                <w:szCs w:val="28"/>
              </w:rPr>
            </w:pPr>
            <w:r>
              <w:rPr>
                <w:rFonts w:hint="eastAsia" w:ascii="仿宋_GB2312"/>
                <w:sz w:val="28"/>
                <w:szCs w:val="28"/>
              </w:rPr>
              <w:t>单位</w:t>
            </w:r>
          </w:p>
        </w:tc>
        <w:tc>
          <w:tcPr>
            <w:tcW w:w="1571" w:type="dxa"/>
            <w:vAlign w:val="center"/>
          </w:tcPr>
          <w:p>
            <w:pPr>
              <w:spacing w:line="240" w:lineRule="auto"/>
              <w:ind w:firstLine="0" w:firstLineChars="0"/>
              <w:jc w:val="center"/>
              <w:rPr>
                <w:rFonts w:ascii="仿宋_GB2312"/>
                <w:sz w:val="28"/>
                <w:szCs w:val="28"/>
              </w:rPr>
            </w:pPr>
            <w:r>
              <w:rPr>
                <w:rFonts w:ascii="仿宋_GB2312"/>
                <w:sz w:val="28"/>
                <w:szCs w:val="28"/>
              </w:rPr>
              <w:t>2</w:t>
            </w:r>
            <w:r>
              <w:rPr>
                <w:rFonts w:ascii="仿宋_GB2312"/>
                <w:sz w:val="28"/>
                <w:szCs w:val="28"/>
                <w:lang w:bidi="zh-CN"/>
              </w:rPr>
              <w:t>025</w:t>
            </w:r>
            <w:r>
              <w:rPr>
                <w:rFonts w:hint="eastAsia" w:ascii="仿宋_GB2312"/>
                <w:sz w:val="28"/>
                <w:szCs w:val="28"/>
              </w:rPr>
              <w:t>年实际值</w:t>
            </w:r>
          </w:p>
        </w:tc>
        <w:tc>
          <w:tcPr>
            <w:tcW w:w="1425" w:type="dxa"/>
            <w:vAlign w:val="center"/>
          </w:tcPr>
          <w:p>
            <w:pPr>
              <w:spacing w:line="240" w:lineRule="auto"/>
              <w:ind w:firstLine="0" w:firstLineChars="0"/>
              <w:jc w:val="center"/>
              <w:rPr>
                <w:rFonts w:ascii="仿宋_GB2312"/>
                <w:sz w:val="28"/>
                <w:szCs w:val="28"/>
              </w:rPr>
            </w:pPr>
            <w:r>
              <w:rPr>
                <w:rFonts w:ascii="仿宋_GB2312"/>
                <w:sz w:val="28"/>
                <w:szCs w:val="28"/>
              </w:rPr>
              <w:t>2030</w:t>
            </w:r>
            <w:r>
              <w:rPr>
                <w:rFonts w:hint="eastAsia" w:ascii="仿宋_GB2312"/>
                <w:sz w:val="28"/>
                <w:szCs w:val="28"/>
              </w:rPr>
              <w:t>年目标值（预期性）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508" w:type="dxa"/>
            <w:vMerge w:val="restart"/>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公共服务</w:t>
            </w:r>
          </w:p>
        </w:tc>
        <w:tc>
          <w:tcPr>
            <w:tcW w:w="514"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1</w:t>
            </w:r>
          </w:p>
        </w:tc>
        <w:tc>
          <w:tcPr>
            <w:tcW w:w="3459"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村级应急广播覆盖率</w:t>
            </w:r>
          </w:p>
        </w:tc>
        <w:tc>
          <w:tcPr>
            <w:tcW w:w="116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w:t>
            </w:r>
          </w:p>
        </w:tc>
        <w:tc>
          <w:tcPr>
            <w:tcW w:w="1571" w:type="dxa"/>
            <w:vAlign w:val="center"/>
          </w:tcPr>
          <w:p>
            <w:pPr>
              <w:spacing w:line="240" w:lineRule="auto"/>
              <w:ind w:firstLine="0" w:firstLineChars="0"/>
              <w:jc w:val="center"/>
              <w:rPr>
                <w:rFonts w:hint="eastAsia" w:ascii="仿宋_GB2312" w:eastAsia="仿宋_GB2312"/>
                <w:color w:val="auto"/>
                <w:sz w:val="28"/>
                <w:szCs w:val="28"/>
                <w:lang w:val="en-US" w:eastAsia="zh-CN"/>
              </w:rPr>
            </w:pPr>
            <w:r>
              <w:rPr>
                <w:rFonts w:hint="eastAsia" w:ascii="仿宋_GB2312"/>
                <w:color w:val="auto"/>
                <w:sz w:val="28"/>
                <w:szCs w:val="28"/>
              </w:rPr>
              <w:t>70</w:t>
            </w:r>
            <w:r>
              <w:rPr>
                <w:rFonts w:hint="eastAsia" w:ascii="仿宋_GB2312"/>
                <w:color w:val="auto"/>
                <w:sz w:val="28"/>
                <w:szCs w:val="28"/>
                <w:lang w:val="en-US" w:eastAsia="zh-CN"/>
              </w:rPr>
              <w:t>%</w:t>
            </w:r>
          </w:p>
        </w:tc>
        <w:tc>
          <w:tcPr>
            <w:tcW w:w="1425" w:type="dxa"/>
            <w:vAlign w:val="center"/>
          </w:tcPr>
          <w:p>
            <w:pPr>
              <w:spacing w:line="240" w:lineRule="auto"/>
              <w:ind w:firstLine="0" w:firstLineChars="0"/>
              <w:jc w:val="center"/>
              <w:rPr>
                <w:rFonts w:hint="eastAsia" w:ascii="仿宋_GB2312" w:eastAsia="仿宋_GB2312"/>
                <w:color w:val="auto"/>
                <w:sz w:val="28"/>
                <w:szCs w:val="28"/>
                <w:lang w:val="en-US" w:eastAsia="zh-CN"/>
              </w:rPr>
            </w:pPr>
            <w:r>
              <w:rPr>
                <w:rFonts w:hint="eastAsia" w:ascii="仿宋_GB2312"/>
                <w:color w:val="auto"/>
                <w:sz w:val="28"/>
                <w:szCs w:val="28"/>
              </w:rPr>
              <w:t>100</w:t>
            </w:r>
            <w:r>
              <w:rPr>
                <w:rFonts w:hint="eastAsia" w:ascii="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508" w:type="dxa"/>
            <w:vMerge w:val="continue"/>
            <w:vAlign w:val="center"/>
          </w:tcPr>
          <w:p>
            <w:pPr>
              <w:spacing w:line="240" w:lineRule="auto"/>
              <w:ind w:firstLine="0" w:firstLineChars="0"/>
              <w:jc w:val="center"/>
              <w:rPr>
                <w:rFonts w:ascii="仿宋_GB2312"/>
                <w:color w:val="auto"/>
                <w:sz w:val="28"/>
                <w:szCs w:val="28"/>
              </w:rPr>
            </w:pPr>
          </w:p>
        </w:tc>
        <w:tc>
          <w:tcPr>
            <w:tcW w:w="514"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2</w:t>
            </w:r>
          </w:p>
        </w:tc>
        <w:tc>
          <w:tcPr>
            <w:tcW w:w="3459"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县级公共图书馆、文化馆分馆数量</w:t>
            </w:r>
          </w:p>
        </w:tc>
        <w:tc>
          <w:tcPr>
            <w:tcW w:w="116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个</w:t>
            </w:r>
          </w:p>
        </w:tc>
        <w:tc>
          <w:tcPr>
            <w:tcW w:w="1571"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128</w:t>
            </w:r>
          </w:p>
        </w:tc>
        <w:tc>
          <w:tcPr>
            <w:tcW w:w="142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jc w:val="center"/>
        </w:trPr>
        <w:tc>
          <w:tcPr>
            <w:tcW w:w="508" w:type="dxa"/>
            <w:vMerge w:val="restart"/>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文化遗产</w:t>
            </w:r>
          </w:p>
        </w:tc>
        <w:tc>
          <w:tcPr>
            <w:tcW w:w="514"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1</w:t>
            </w:r>
          </w:p>
        </w:tc>
        <w:tc>
          <w:tcPr>
            <w:tcW w:w="3459"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全国重点文物保护单位</w:t>
            </w:r>
          </w:p>
        </w:tc>
        <w:tc>
          <w:tcPr>
            <w:tcW w:w="116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处/点</w:t>
            </w:r>
          </w:p>
        </w:tc>
        <w:tc>
          <w:tcPr>
            <w:tcW w:w="1571"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16</w:t>
            </w:r>
            <w:r>
              <w:rPr>
                <w:rFonts w:hint="eastAsia" w:ascii="仿宋_GB2312"/>
                <w:color w:val="auto"/>
                <w:sz w:val="28"/>
                <w:szCs w:val="28"/>
              </w:rPr>
              <w:t>处</w:t>
            </w:r>
          </w:p>
          <w:p>
            <w:pPr>
              <w:spacing w:line="240" w:lineRule="auto"/>
              <w:ind w:firstLine="0" w:firstLineChars="0"/>
              <w:jc w:val="center"/>
              <w:rPr>
                <w:rFonts w:ascii="仿宋_GB2312"/>
                <w:color w:val="auto"/>
                <w:sz w:val="28"/>
                <w:szCs w:val="28"/>
              </w:rPr>
            </w:pPr>
            <w:r>
              <w:rPr>
                <w:rFonts w:hint="eastAsia" w:ascii="仿宋_GB2312"/>
                <w:color w:val="auto"/>
                <w:sz w:val="28"/>
                <w:szCs w:val="28"/>
              </w:rPr>
              <w:t>124点（2</w:t>
            </w:r>
            <w:r>
              <w:rPr>
                <w:rFonts w:ascii="仿宋_GB2312"/>
                <w:color w:val="auto"/>
                <w:sz w:val="28"/>
                <w:szCs w:val="28"/>
              </w:rPr>
              <w:t>024</w:t>
            </w:r>
            <w:r>
              <w:rPr>
                <w:rFonts w:hint="eastAsia" w:ascii="仿宋_GB2312"/>
                <w:color w:val="auto"/>
                <w:sz w:val="28"/>
                <w:szCs w:val="28"/>
              </w:rPr>
              <w:t>）</w:t>
            </w:r>
          </w:p>
        </w:tc>
        <w:tc>
          <w:tcPr>
            <w:tcW w:w="1425"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18</w:t>
            </w:r>
            <w:r>
              <w:rPr>
                <w:rFonts w:hint="eastAsia" w:ascii="仿宋_GB2312"/>
                <w:color w:val="auto"/>
                <w:sz w:val="28"/>
                <w:szCs w:val="28"/>
              </w:rPr>
              <w:t>处</w:t>
            </w:r>
            <w:r>
              <w:rPr>
                <w:rFonts w:ascii="仿宋_GB2312"/>
                <w:color w:val="auto"/>
                <w:sz w:val="28"/>
                <w:szCs w:val="28"/>
              </w:rPr>
              <w:t>/</w:t>
            </w:r>
          </w:p>
          <w:p>
            <w:pPr>
              <w:spacing w:line="240" w:lineRule="auto"/>
              <w:ind w:firstLine="0" w:firstLineChars="0"/>
              <w:jc w:val="center"/>
              <w:rPr>
                <w:rFonts w:ascii="仿宋_GB2312"/>
                <w:color w:val="auto"/>
                <w:sz w:val="28"/>
                <w:szCs w:val="28"/>
              </w:rPr>
            </w:pPr>
            <w:r>
              <w:rPr>
                <w:rFonts w:hint="eastAsia" w:ascii="仿宋_GB2312"/>
                <w:color w:val="auto"/>
                <w:sz w:val="28"/>
                <w:szCs w:val="28"/>
              </w:rPr>
              <w:t>126点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508" w:type="dxa"/>
            <w:vMerge w:val="continue"/>
            <w:vAlign w:val="center"/>
          </w:tcPr>
          <w:p>
            <w:pPr>
              <w:spacing w:line="240" w:lineRule="auto"/>
              <w:ind w:firstLine="0" w:firstLineChars="0"/>
              <w:jc w:val="center"/>
              <w:rPr>
                <w:rFonts w:ascii="仿宋_GB2312"/>
                <w:color w:val="auto"/>
                <w:sz w:val="28"/>
                <w:szCs w:val="28"/>
              </w:rPr>
            </w:pPr>
          </w:p>
        </w:tc>
        <w:tc>
          <w:tcPr>
            <w:tcW w:w="514"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2</w:t>
            </w:r>
          </w:p>
        </w:tc>
        <w:tc>
          <w:tcPr>
            <w:tcW w:w="3459"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县级及以上文物保护单位</w:t>
            </w:r>
          </w:p>
        </w:tc>
        <w:tc>
          <w:tcPr>
            <w:tcW w:w="116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处/点</w:t>
            </w:r>
          </w:p>
        </w:tc>
        <w:tc>
          <w:tcPr>
            <w:tcW w:w="1571"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694</w:t>
            </w:r>
            <w:r>
              <w:rPr>
                <w:rFonts w:hint="eastAsia" w:ascii="仿宋_GB2312"/>
                <w:color w:val="auto"/>
                <w:sz w:val="28"/>
                <w:szCs w:val="28"/>
              </w:rPr>
              <w:t>处938点（2</w:t>
            </w:r>
            <w:r>
              <w:rPr>
                <w:rFonts w:ascii="仿宋_GB2312"/>
                <w:color w:val="auto"/>
                <w:sz w:val="28"/>
                <w:szCs w:val="28"/>
              </w:rPr>
              <w:t>024</w:t>
            </w:r>
            <w:r>
              <w:rPr>
                <w:rFonts w:hint="eastAsia" w:ascii="仿宋_GB2312"/>
                <w:color w:val="auto"/>
                <w:sz w:val="28"/>
                <w:szCs w:val="28"/>
              </w:rPr>
              <w:t>）</w:t>
            </w:r>
          </w:p>
        </w:tc>
        <w:tc>
          <w:tcPr>
            <w:tcW w:w="1425"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800</w:t>
            </w:r>
            <w:r>
              <w:rPr>
                <w:rFonts w:hint="eastAsia" w:ascii="仿宋_GB2312"/>
                <w:color w:val="auto"/>
                <w:sz w:val="28"/>
                <w:szCs w:val="28"/>
              </w:rPr>
              <w:t>处/</w:t>
            </w:r>
          </w:p>
          <w:p>
            <w:pPr>
              <w:spacing w:line="240" w:lineRule="auto"/>
              <w:ind w:firstLine="0" w:firstLineChars="0"/>
              <w:jc w:val="center"/>
              <w:rPr>
                <w:rFonts w:ascii="仿宋_GB2312"/>
                <w:color w:val="auto"/>
                <w:sz w:val="28"/>
                <w:szCs w:val="28"/>
              </w:rPr>
            </w:pPr>
            <w:r>
              <w:rPr>
                <w:rFonts w:hint="eastAsia" w:ascii="仿宋_GB2312"/>
                <w:color w:val="auto"/>
                <w:sz w:val="28"/>
                <w:szCs w:val="28"/>
              </w:rPr>
              <w:t>1000点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508" w:type="dxa"/>
            <w:vMerge w:val="continue"/>
            <w:vAlign w:val="center"/>
          </w:tcPr>
          <w:p>
            <w:pPr>
              <w:spacing w:line="240" w:lineRule="auto"/>
              <w:ind w:firstLine="0" w:firstLineChars="0"/>
              <w:jc w:val="center"/>
              <w:rPr>
                <w:rFonts w:ascii="仿宋_GB2312"/>
                <w:color w:val="auto"/>
                <w:sz w:val="28"/>
                <w:szCs w:val="28"/>
              </w:rPr>
            </w:pPr>
          </w:p>
        </w:tc>
        <w:tc>
          <w:tcPr>
            <w:tcW w:w="514"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3</w:t>
            </w:r>
          </w:p>
        </w:tc>
        <w:tc>
          <w:tcPr>
            <w:tcW w:w="3459"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市级以上非物质文化遗产项目</w:t>
            </w:r>
          </w:p>
        </w:tc>
        <w:tc>
          <w:tcPr>
            <w:tcW w:w="116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项</w:t>
            </w:r>
          </w:p>
        </w:tc>
        <w:tc>
          <w:tcPr>
            <w:tcW w:w="1571"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29</w:t>
            </w:r>
            <w:r>
              <w:rPr>
                <w:rFonts w:hint="eastAsia" w:ascii="仿宋_GB2312"/>
                <w:color w:val="auto"/>
                <w:sz w:val="28"/>
                <w:szCs w:val="28"/>
              </w:rPr>
              <w:t>5（2</w:t>
            </w:r>
            <w:r>
              <w:rPr>
                <w:rFonts w:ascii="仿宋_GB2312"/>
                <w:color w:val="auto"/>
                <w:sz w:val="28"/>
                <w:szCs w:val="28"/>
              </w:rPr>
              <w:t>024</w:t>
            </w:r>
            <w:r>
              <w:rPr>
                <w:rFonts w:hint="eastAsia" w:ascii="仿宋_GB2312"/>
                <w:color w:val="auto"/>
                <w:sz w:val="28"/>
                <w:szCs w:val="28"/>
              </w:rPr>
              <w:t>）</w:t>
            </w:r>
          </w:p>
        </w:tc>
        <w:tc>
          <w:tcPr>
            <w:tcW w:w="1425"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508" w:type="dxa"/>
            <w:vMerge w:val="continue"/>
            <w:vAlign w:val="center"/>
          </w:tcPr>
          <w:p>
            <w:pPr>
              <w:spacing w:line="240" w:lineRule="auto"/>
              <w:ind w:firstLine="0" w:firstLineChars="0"/>
              <w:jc w:val="center"/>
              <w:rPr>
                <w:rFonts w:ascii="仿宋_GB2312"/>
                <w:color w:val="auto"/>
                <w:sz w:val="28"/>
                <w:szCs w:val="28"/>
              </w:rPr>
            </w:pPr>
          </w:p>
        </w:tc>
        <w:tc>
          <w:tcPr>
            <w:tcW w:w="514"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4</w:t>
            </w:r>
          </w:p>
        </w:tc>
        <w:tc>
          <w:tcPr>
            <w:tcW w:w="3459"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非物质文化遗产项目代表性传承人</w:t>
            </w:r>
          </w:p>
        </w:tc>
        <w:tc>
          <w:tcPr>
            <w:tcW w:w="116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人</w:t>
            </w:r>
          </w:p>
        </w:tc>
        <w:tc>
          <w:tcPr>
            <w:tcW w:w="1571"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265</w:t>
            </w:r>
            <w:r>
              <w:rPr>
                <w:rFonts w:hint="eastAsia" w:ascii="仿宋_GB2312"/>
                <w:color w:val="auto"/>
                <w:sz w:val="28"/>
                <w:szCs w:val="28"/>
              </w:rPr>
              <w:t>（2</w:t>
            </w:r>
            <w:r>
              <w:rPr>
                <w:rFonts w:ascii="仿宋_GB2312"/>
                <w:color w:val="auto"/>
                <w:sz w:val="28"/>
                <w:szCs w:val="28"/>
              </w:rPr>
              <w:t>024</w:t>
            </w:r>
            <w:r>
              <w:rPr>
                <w:rFonts w:hint="eastAsia" w:ascii="仿宋_GB2312"/>
                <w:color w:val="auto"/>
                <w:sz w:val="28"/>
                <w:szCs w:val="28"/>
              </w:rPr>
              <w:t>）</w:t>
            </w:r>
          </w:p>
        </w:tc>
        <w:tc>
          <w:tcPr>
            <w:tcW w:w="1425"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508" w:type="dxa"/>
            <w:vMerge w:val="continue"/>
            <w:vAlign w:val="center"/>
          </w:tcPr>
          <w:p>
            <w:pPr>
              <w:spacing w:line="240" w:lineRule="auto"/>
              <w:ind w:firstLine="0" w:firstLineChars="0"/>
              <w:jc w:val="center"/>
              <w:rPr>
                <w:rFonts w:ascii="仿宋_GB2312"/>
                <w:color w:val="auto"/>
                <w:sz w:val="28"/>
                <w:szCs w:val="28"/>
              </w:rPr>
            </w:pPr>
          </w:p>
        </w:tc>
        <w:tc>
          <w:tcPr>
            <w:tcW w:w="514"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5</w:t>
            </w:r>
          </w:p>
        </w:tc>
        <w:tc>
          <w:tcPr>
            <w:tcW w:w="3459"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非遗传承体验中心</w:t>
            </w:r>
          </w:p>
        </w:tc>
        <w:tc>
          <w:tcPr>
            <w:tcW w:w="116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个</w:t>
            </w:r>
          </w:p>
        </w:tc>
        <w:tc>
          <w:tcPr>
            <w:tcW w:w="1571"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66(2024)</w:t>
            </w:r>
          </w:p>
        </w:tc>
        <w:tc>
          <w:tcPr>
            <w:tcW w:w="1425"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508" w:type="dxa"/>
            <w:vMerge w:val="continue"/>
            <w:vAlign w:val="center"/>
          </w:tcPr>
          <w:p>
            <w:pPr>
              <w:spacing w:line="240" w:lineRule="auto"/>
              <w:ind w:firstLine="0" w:firstLineChars="0"/>
              <w:jc w:val="center"/>
              <w:rPr>
                <w:rFonts w:ascii="仿宋_GB2312"/>
                <w:color w:val="auto"/>
                <w:sz w:val="28"/>
                <w:szCs w:val="28"/>
              </w:rPr>
            </w:pPr>
          </w:p>
        </w:tc>
        <w:tc>
          <w:tcPr>
            <w:tcW w:w="514"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6</w:t>
            </w:r>
          </w:p>
        </w:tc>
        <w:tc>
          <w:tcPr>
            <w:tcW w:w="3459"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国家级非遗项目传承人工作室</w:t>
            </w:r>
          </w:p>
        </w:tc>
        <w:tc>
          <w:tcPr>
            <w:tcW w:w="116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个</w:t>
            </w:r>
          </w:p>
        </w:tc>
        <w:tc>
          <w:tcPr>
            <w:tcW w:w="1571"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21</w:t>
            </w:r>
            <w:r>
              <w:rPr>
                <w:rFonts w:hint="eastAsia" w:ascii="仿宋_GB2312"/>
                <w:color w:val="auto"/>
                <w:sz w:val="28"/>
                <w:szCs w:val="28"/>
              </w:rPr>
              <w:t>（2</w:t>
            </w:r>
            <w:r>
              <w:rPr>
                <w:rFonts w:ascii="仿宋_GB2312"/>
                <w:color w:val="auto"/>
                <w:sz w:val="28"/>
                <w:szCs w:val="28"/>
              </w:rPr>
              <w:t>024</w:t>
            </w:r>
            <w:r>
              <w:rPr>
                <w:rFonts w:hint="eastAsia" w:ascii="仿宋_GB2312"/>
                <w:color w:val="auto"/>
                <w:sz w:val="28"/>
                <w:szCs w:val="28"/>
              </w:rPr>
              <w:t>）</w:t>
            </w:r>
          </w:p>
        </w:tc>
        <w:tc>
          <w:tcPr>
            <w:tcW w:w="1425"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508" w:type="dxa"/>
            <w:vMerge w:val="continue"/>
            <w:vAlign w:val="center"/>
          </w:tcPr>
          <w:p>
            <w:pPr>
              <w:spacing w:line="240" w:lineRule="auto"/>
              <w:ind w:firstLine="0" w:firstLineChars="0"/>
              <w:jc w:val="center"/>
              <w:rPr>
                <w:rFonts w:ascii="仿宋_GB2312"/>
                <w:color w:val="auto"/>
                <w:sz w:val="28"/>
                <w:szCs w:val="28"/>
              </w:rPr>
            </w:pPr>
          </w:p>
        </w:tc>
        <w:tc>
          <w:tcPr>
            <w:tcW w:w="514"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7</w:t>
            </w:r>
          </w:p>
        </w:tc>
        <w:tc>
          <w:tcPr>
            <w:tcW w:w="3459"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非遗工坊</w:t>
            </w:r>
          </w:p>
        </w:tc>
        <w:tc>
          <w:tcPr>
            <w:tcW w:w="116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家</w:t>
            </w:r>
          </w:p>
        </w:tc>
        <w:tc>
          <w:tcPr>
            <w:tcW w:w="1571"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30(2024)</w:t>
            </w:r>
          </w:p>
        </w:tc>
        <w:tc>
          <w:tcPr>
            <w:tcW w:w="1425"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2" w:hRule="atLeast"/>
          <w:jc w:val="center"/>
        </w:trPr>
        <w:tc>
          <w:tcPr>
            <w:tcW w:w="508" w:type="dxa"/>
            <w:vMerge w:val="restart"/>
            <w:vAlign w:val="center"/>
          </w:tcPr>
          <w:p>
            <w:pPr>
              <w:spacing w:line="240" w:lineRule="auto"/>
              <w:ind w:firstLine="0" w:firstLineChars="0"/>
              <w:jc w:val="center"/>
              <w:rPr>
                <w:rFonts w:hint="eastAsia" w:ascii="仿宋_GB2312"/>
                <w:color w:val="auto"/>
                <w:sz w:val="28"/>
                <w:szCs w:val="28"/>
              </w:rPr>
            </w:pPr>
            <w:r>
              <w:rPr>
                <w:rFonts w:hint="eastAsia" w:ascii="仿宋_GB2312"/>
                <w:color w:val="auto"/>
                <w:sz w:val="28"/>
                <w:szCs w:val="28"/>
              </w:rPr>
              <w:t>文化产业</w:t>
            </w:r>
          </w:p>
        </w:tc>
        <w:tc>
          <w:tcPr>
            <w:tcW w:w="514" w:type="dxa"/>
            <w:vAlign w:val="center"/>
          </w:tcPr>
          <w:p>
            <w:pPr>
              <w:spacing w:line="240" w:lineRule="auto"/>
              <w:ind w:firstLine="0" w:firstLineChars="0"/>
              <w:jc w:val="center"/>
              <w:rPr>
                <w:rFonts w:hint="eastAsia" w:ascii="仿宋_GB2312"/>
                <w:color w:val="auto"/>
                <w:sz w:val="28"/>
                <w:szCs w:val="28"/>
              </w:rPr>
            </w:pPr>
            <w:r>
              <w:rPr>
                <w:rFonts w:hint="eastAsia" w:ascii="仿宋_GB2312"/>
                <w:color w:val="auto"/>
                <w:sz w:val="28"/>
                <w:szCs w:val="28"/>
              </w:rPr>
              <w:t>1</w:t>
            </w:r>
          </w:p>
          <w:p>
            <w:pPr>
              <w:spacing w:line="240" w:lineRule="auto"/>
              <w:ind w:firstLine="0" w:firstLineChars="0"/>
              <w:jc w:val="center"/>
              <w:rPr>
                <w:rFonts w:hint="eastAsia" w:ascii="仿宋_GB2312"/>
                <w:color w:val="auto"/>
                <w:sz w:val="28"/>
                <w:szCs w:val="28"/>
              </w:rPr>
            </w:pPr>
          </w:p>
        </w:tc>
        <w:tc>
          <w:tcPr>
            <w:tcW w:w="3459"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电影票房</w:t>
            </w:r>
          </w:p>
        </w:tc>
        <w:tc>
          <w:tcPr>
            <w:tcW w:w="116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万元</w:t>
            </w:r>
          </w:p>
        </w:tc>
        <w:tc>
          <w:tcPr>
            <w:tcW w:w="1571"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5183</w:t>
            </w:r>
            <w:r>
              <w:rPr>
                <w:rFonts w:hint="eastAsia" w:ascii="仿宋_GB2312"/>
                <w:color w:val="auto"/>
                <w:sz w:val="28"/>
                <w:szCs w:val="28"/>
              </w:rPr>
              <w:t>（2</w:t>
            </w:r>
            <w:r>
              <w:rPr>
                <w:rFonts w:ascii="仿宋_GB2312"/>
                <w:color w:val="auto"/>
                <w:sz w:val="28"/>
                <w:szCs w:val="28"/>
              </w:rPr>
              <w:t>024</w:t>
            </w:r>
            <w:r>
              <w:rPr>
                <w:rFonts w:hint="eastAsia" w:ascii="仿宋_GB2312"/>
                <w:color w:val="auto"/>
                <w:sz w:val="28"/>
                <w:szCs w:val="28"/>
              </w:rPr>
              <w:t>）</w:t>
            </w:r>
          </w:p>
        </w:tc>
        <w:tc>
          <w:tcPr>
            <w:tcW w:w="142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6</w:t>
            </w:r>
            <w:r>
              <w:rPr>
                <w:rFonts w:ascii="仿宋_GB2312"/>
                <w:color w:val="auto"/>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508" w:type="dxa"/>
            <w:vMerge w:val="restart"/>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旅游业</w:t>
            </w:r>
          </w:p>
        </w:tc>
        <w:tc>
          <w:tcPr>
            <w:tcW w:w="514" w:type="dxa"/>
            <w:vAlign w:val="center"/>
          </w:tcPr>
          <w:p>
            <w:pPr>
              <w:spacing w:line="240" w:lineRule="auto"/>
              <w:ind w:firstLine="0" w:firstLineChars="0"/>
              <w:jc w:val="center"/>
              <w:rPr>
                <w:rFonts w:ascii="仿宋_GB2312"/>
                <w:color w:val="auto"/>
                <w:sz w:val="28"/>
                <w:szCs w:val="28"/>
                <w:lang w:bidi="zh-CN"/>
              </w:rPr>
            </w:pPr>
            <w:r>
              <w:rPr>
                <w:rFonts w:ascii="仿宋_GB2312"/>
                <w:color w:val="auto"/>
                <w:sz w:val="28"/>
                <w:szCs w:val="28"/>
                <w:lang w:bidi="zh-CN"/>
              </w:rPr>
              <w:t>1</w:t>
            </w:r>
          </w:p>
        </w:tc>
        <w:tc>
          <w:tcPr>
            <w:tcW w:w="3459" w:type="dxa"/>
            <w:vAlign w:val="center"/>
          </w:tcPr>
          <w:p>
            <w:pPr>
              <w:spacing w:line="240" w:lineRule="auto"/>
              <w:ind w:firstLine="0" w:firstLineChars="0"/>
              <w:jc w:val="center"/>
              <w:rPr>
                <w:rFonts w:hint="eastAsia" w:ascii="仿宋_GB2312" w:eastAsia="仿宋_GB2312"/>
                <w:color w:val="auto"/>
                <w:sz w:val="28"/>
                <w:szCs w:val="28"/>
                <w:highlight w:val="none"/>
                <w:shd w:val="clear" w:color="auto" w:fill="auto"/>
                <w:lang w:eastAsia="zh-CN"/>
              </w:rPr>
            </w:pPr>
            <w:r>
              <w:rPr>
                <w:rFonts w:hint="eastAsia" w:ascii="仿宋_GB2312"/>
                <w:color w:val="auto"/>
                <w:sz w:val="28"/>
                <w:szCs w:val="28"/>
                <w:highlight w:val="none"/>
                <w:shd w:val="clear" w:color="auto" w:fill="auto"/>
              </w:rPr>
              <w:t>游客旅游总花费</w:t>
            </w:r>
            <w:r>
              <w:rPr>
                <w:rFonts w:hint="eastAsia" w:ascii="仿宋_GB2312"/>
                <w:color w:val="auto"/>
                <w:sz w:val="28"/>
                <w:szCs w:val="28"/>
                <w:highlight w:val="none"/>
                <w:shd w:val="clear" w:color="auto" w:fill="auto"/>
                <w:lang w:eastAsia="zh-CN"/>
              </w:rPr>
              <w:t>增长率</w:t>
            </w:r>
          </w:p>
        </w:tc>
        <w:tc>
          <w:tcPr>
            <w:tcW w:w="1165" w:type="dxa"/>
            <w:vAlign w:val="center"/>
          </w:tcPr>
          <w:p>
            <w:pPr>
              <w:spacing w:line="240" w:lineRule="auto"/>
              <w:ind w:firstLine="0" w:firstLineChars="0"/>
              <w:jc w:val="center"/>
              <w:rPr>
                <w:rFonts w:ascii="仿宋_GB2312"/>
                <w:color w:val="auto"/>
                <w:sz w:val="28"/>
                <w:szCs w:val="28"/>
                <w:highlight w:val="none"/>
                <w:shd w:val="clear" w:color="auto" w:fill="auto"/>
              </w:rPr>
            </w:pPr>
            <w:r>
              <w:rPr>
                <w:rFonts w:hint="eastAsia"/>
                <w:color w:val="auto"/>
                <w:highlight w:val="none"/>
                <w:shd w:val="clear" w:color="auto" w:fill="auto"/>
                <w:lang w:val="en-US" w:eastAsia="zh-CN"/>
              </w:rPr>
              <w:t>%</w:t>
            </w:r>
          </w:p>
        </w:tc>
        <w:tc>
          <w:tcPr>
            <w:tcW w:w="1571" w:type="dxa"/>
            <w:vAlign w:val="center"/>
          </w:tcPr>
          <w:p>
            <w:pPr>
              <w:spacing w:line="240" w:lineRule="auto"/>
              <w:ind w:firstLine="0" w:firstLineChars="0"/>
              <w:jc w:val="center"/>
              <w:rPr>
                <w:rFonts w:hint="default" w:ascii="仿宋_GB2312" w:eastAsia="仿宋_GB2312"/>
                <w:color w:val="auto"/>
                <w:sz w:val="28"/>
                <w:szCs w:val="28"/>
                <w:highlight w:val="none"/>
                <w:shd w:val="clear" w:color="auto" w:fill="auto"/>
                <w:lang w:val="en-US" w:eastAsia="zh-CN"/>
              </w:rPr>
            </w:pPr>
            <w:r>
              <w:rPr>
                <w:rFonts w:hint="eastAsia" w:ascii="仿宋_GB2312"/>
                <w:color w:val="auto"/>
                <w:sz w:val="28"/>
                <w:szCs w:val="28"/>
                <w:highlight w:val="none"/>
                <w:shd w:val="clear" w:color="auto" w:fill="auto"/>
                <w:lang w:val="en-US" w:eastAsia="zh-CN"/>
              </w:rPr>
              <w:t>10.7%</w:t>
            </w:r>
          </w:p>
        </w:tc>
        <w:tc>
          <w:tcPr>
            <w:tcW w:w="1425" w:type="dxa"/>
            <w:vAlign w:val="center"/>
          </w:tcPr>
          <w:p>
            <w:pPr>
              <w:spacing w:line="240" w:lineRule="auto"/>
              <w:ind w:firstLine="0" w:firstLineChars="0"/>
              <w:jc w:val="center"/>
              <w:rPr>
                <w:rFonts w:ascii="仿宋_GB2312"/>
                <w:color w:val="auto"/>
                <w:sz w:val="28"/>
                <w:szCs w:val="28"/>
                <w:highlight w:val="none"/>
                <w:shd w:val="clear" w:color="auto" w:fill="auto"/>
                <w:lang w:val="en-US"/>
              </w:rPr>
            </w:pPr>
            <w:r>
              <w:rPr>
                <w:rFonts w:hint="eastAsia"/>
                <w:color w:val="auto"/>
                <w:sz w:val="24"/>
                <w:szCs w:val="24"/>
                <w:highlight w:val="none"/>
                <w:shd w:val="clear" w:color="auto" w:fill="auto"/>
                <w:lang w:val="en-US" w:eastAsia="zh-CN"/>
              </w:rPr>
              <w:t>4.5%~5.5%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508" w:type="dxa"/>
            <w:vMerge w:val="continue"/>
            <w:vAlign w:val="center"/>
          </w:tcPr>
          <w:p>
            <w:pPr>
              <w:spacing w:line="240" w:lineRule="auto"/>
              <w:ind w:firstLine="0" w:firstLineChars="0"/>
              <w:jc w:val="center"/>
              <w:rPr>
                <w:rFonts w:ascii="仿宋_GB2312"/>
                <w:color w:val="auto"/>
                <w:sz w:val="28"/>
                <w:szCs w:val="28"/>
              </w:rPr>
            </w:pPr>
          </w:p>
        </w:tc>
        <w:tc>
          <w:tcPr>
            <w:tcW w:w="514" w:type="dxa"/>
            <w:vAlign w:val="center"/>
          </w:tcPr>
          <w:p>
            <w:pPr>
              <w:spacing w:line="240" w:lineRule="auto"/>
              <w:ind w:firstLine="0" w:firstLineChars="0"/>
              <w:jc w:val="center"/>
              <w:rPr>
                <w:rFonts w:ascii="仿宋_GB2312"/>
                <w:color w:val="auto"/>
                <w:sz w:val="28"/>
                <w:szCs w:val="28"/>
                <w:lang w:bidi="zh-CN"/>
              </w:rPr>
            </w:pPr>
            <w:r>
              <w:rPr>
                <w:rFonts w:hint="eastAsia" w:ascii="仿宋_GB2312"/>
                <w:color w:val="auto"/>
                <w:sz w:val="28"/>
                <w:szCs w:val="28"/>
                <w:lang w:bidi="zh-CN"/>
              </w:rPr>
              <w:t>2</w:t>
            </w:r>
          </w:p>
        </w:tc>
        <w:tc>
          <w:tcPr>
            <w:tcW w:w="3459" w:type="dxa"/>
            <w:vAlign w:val="center"/>
          </w:tcPr>
          <w:p>
            <w:pPr>
              <w:spacing w:line="240" w:lineRule="auto"/>
              <w:ind w:firstLine="0" w:firstLineChars="0"/>
              <w:jc w:val="center"/>
              <w:rPr>
                <w:rFonts w:hint="eastAsia" w:ascii="仿宋_GB2312" w:eastAsia="仿宋_GB2312"/>
                <w:color w:val="auto"/>
                <w:sz w:val="28"/>
                <w:szCs w:val="28"/>
                <w:highlight w:val="none"/>
                <w:shd w:val="clear" w:color="auto" w:fill="auto"/>
                <w:lang w:eastAsia="zh-CN"/>
              </w:rPr>
            </w:pPr>
            <w:r>
              <w:rPr>
                <w:rFonts w:hint="eastAsia" w:ascii="仿宋_GB2312"/>
                <w:color w:val="auto"/>
                <w:sz w:val="28"/>
                <w:szCs w:val="28"/>
                <w:highlight w:val="none"/>
                <w:shd w:val="clear" w:color="auto" w:fill="auto"/>
              </w:rPr>
              <w:t>接待总人数</w:t>
            </w:r>
            <w:r>
              <w:rPr>
                <w:rFonts w:hint="eastAsia" w:ascii="仿宋_GB2312"/>
                <w:color w:val="auto"/>
                <w:sz w:val="28"/>
                <w:szCs w:val="28"/>
                <w:highlight w:val="none"/>
                <w:shd w:val="clear" w:color="auto" w:fill="auto"/>
                <w:lang w:eastAsia="zh-CN"/>
              </w:rPr>
              <w:t>增长率</w:t>
            </w:r>
          </w:p>
        </w:tc>
        <w:tc>
          <w:tcPr>
            <w:tcW w:w="1165" w:type="dxa"/>
            <w:vAlign w:val="center"/>
          </w:tcPr>
          <w:p>
            <w:pPr>
              <w:spacing w:line="240" w:lineRule="auto"/>
              <w:ind w:firstLine="0" w:firstLineChars="0"/>
              <w:jc w:val="center"/>
              <w:rPr>
                <w:rFonts w:ascii="仿宋_GB2312"/>
                <w:color w:val="auto"/>
                <w:sz w:val="28"/>
                <w:szCs w:val="28"/>
                <w:highlight w:val="none"/>
                <w:shd w:val="clear" w:color="auto" w:fill="auto"/>
              </w:rPr>
            </w:pPr>
            <w:r>
              <w:rPr>
                <w:rFonts w:hint="eastAsia"/>
                <w:color w:val="auto"/>
                <w:highlight w:val="none"/>
                <w:shd w:val="clear" w:color="auto" w:fill="auto"/>
                <w:lang w:val="en-US" w:eastAsia="zh-CN"/>
              </w:rPr>
              <w:t>%</w:t>
            </w:r>
          </w:p>
        </w:tc>
        <w:tc>
          <w:tcPr>
            <w:tcW w:w="1571" w:type="dxa"/>
            <w:vAlign w:val="center"/>
          </w:tcPr>
          <w:p>
            <w:pPr>
              <w:spacing w:line="240" w:lineRule="auto"/>
              <w:ind w:firstLine="0" w:firstLineChars="0"/>
              <w:jc w:val="center"/>
              <w:rPr>
                <w:rFonts w:hint="default" w:ascii="仿宋_GB2312" w:eastAsia="仿宋_GB2312"/>
                <w:color w:val="auto"/>
                <w:sz w:val="28"/>
                <w:szCs w:val="28"/>
                <w:highlight w:val="none"/>
                <w:shd w:val="clear" w:color="auto" w:fill="auto"/>
                <w:lang w:val="en-US" w:eastAsia="zh-CN"/>
              </w:rPr>
            </w:pPr>
            <w:r>
              <w:rPr>
                <w:rFonts w:hint="eastAsia" w:ascii="仿宋_GB2312"/>
                <w:color w:val="auto"/>
                <w:sz w:val="28"/>
                <w:szCs w:val="28"/>
                <w:highlight w:val="none"/>
                <w:shd w:val="clear" w:color="auto" w:fill="auto"/>
                <w:lang w:val="en-US" w:eastAsia="zh-CN"/>
              </w:rPr>
              <w:t>11.2%</w:t>
            </w:r>
          </w:p>
        </w:tc>
        <w:tc>
          <w:tcPr>
            <w:tcW w:w="1425" w:type="dxa"/>
            <w:vAlign w:val="center"/>
          </w:tcPr>
          <w:p>
            <w:pPr>
              <w:spacing w:line="240" w:lineRule="auto"/>
              <w:ind w:firstLine="0" w:firstLineChars="0"/>
              <w:jc w:val="center"/>
              <w:rPr>
                <w:rFonts w:ascii="仿宋_GB2312"/>
                <w:color w:val="auto"/>
                <w:sz w:val="28"/>
                <w:szCs w:val="28"/>
                <w:highlight w:val="none"/>
                <w:shd w:val="clear" w:color="auto" w:fill="auto"/>
              </w:rPr>
            </w:pPr>
            <w:r>
              <w:rPr>
                <w:rFonts w:hint="eastAsia"/>
                <w:color w:val="auto"/>
                <w:sz w:val="24"/>
                <w:szCs w:val="24"/>
                <w:highlight w:val="none"/>
                <w:shd w:val="clear" w:color="auto" w:fill="auto"/>
                <w:lang w:val="en-US" w:eastAsia="zh-CN"/>
              </w:rPr>
              <w:t>4.5%~5.5%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508" w:type="dxa"/>
            <w:vMerge w:val="continue"/>
            <w:vAlign w:val="center"/>
          </w:tcPr>
          <w:p>
            <w:pPr>
              <w:spacing w:line="240" w:lineRule="auto"/>
              <w:ind w:firstLine="0" w:firstLineChars="0"/>
              <w:jc w:val="center"/>
              <w:rPr>
                <w:rFonts w:ascii="仿宋_GB2312"/>
                <w:color w:val="auto"/>
                <w:sz w:val="28"/>
                <w:szCs w:val="28"/>
              </w:rPr>
            </w:pPr>
          </w:p>
        </w:tc>
        <w:tc>
          <w:tcPr>
            <w:tcW w:w="514" w:type="dxa"/>
            <w:vAlign w:val="center"/>
          </w:tcPr>
          <w:p>
            <w:pPr>
              <w:spacing w:line="240" w:lineRule="auto"/>
              <w:ind w:firstLine="0" w:firstLineChars="0"/>
              <w:jc w:val="center"/>
              <w:rPr>
                <w:rFonts w:ascii="仿宋_GB2312"/>
                <w:color w:val="auto"/>
                <w:sz w:val="28"/>
                <w:szCs w:val="28"/>
                <w:lang w:bidi="zh-CN"/>
              </w:rPr>
            </w:pPr>
            <w:r>
              <w:rPr>
                <w:rFonts w:hint="eastAsia" w:ascii="仿宋_GB2312"/>
                <w:color w:val="auto"/>
                <w:sz w:val="28"/>
                <w:szCs w:val="28"/>
                <w:lang w:bidi="zh-CN"/>
              </w:rPr>
              <w:t>3</w:t>
            </w:r>
          </w:p>
        </w:tc>
        <w:tc>
          <w:tcPr>
            <w:tcW w:w="3459"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国家4A级及以上旅游景区</w:t>
            </w:r>
          </w:p>
        </w:tc>
        <w:tc>
          <w:tcPr>
            <w:tcW w:w="1165" w:type="dxa"/>
            <w:vAlign w:val="center"/>
          </w:tcPr>
          <w:p>
            <w:pPr>
              <w:spacing w:line="240" w:lineRule="auto"/>
              <w:ind w:firstLine="0" w:firstLineChars="0"/>
              <w:jc w:val="center"/>
              <w:rPr>
                <w:rFonts w:ascii="仿宋_GB2312"/>
                <w:color w:val="auto"/>
                <w:sz w:val="28"/>
                <w:szCs w:val="28"/>
              </w:rPr>
            </w:pPr>
            <w:r>
              <w:rPr>
                <w:rFonts w:hint="eastAsia" w:ascii="仿宋_GB2312"/>
                <w:color w:val="auto"/>
                <w:sz w:val="28"/>
                <w:szCs w:val="28"/>
              </w:rPr>
              <w:t>家</w:t>
            </w:r>
          </w:p>
        </w:tc>
        <w:tc>
          <w:tcPr>
            <w:tcW w:w="1571"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1</w:t>
            </w:r>
            <w:r>
              <w:rPr>
                <w:rFonts w:hint="eastAsia" w:ascii="仿宋_GB2312"/>
                <w:color w:val="auto"/>
                <w:sz w:val="28"/>
                <w:szCs w:val="28"/>
              </w:rPr>
              <w:t>3（2</w:t>
            </w:r>
            <w:r>
              <w:rPr>
                <w:rFonts w:ascii="仿宋_GB2312"/>
                <w:color w:val="auto"/>
                <w:sz w:val="28"/>
                <w:szCs w:val="28"/>
              </w:rPr>
              <w:t>024</w:t>
            </w:r>
            <w:r>
              <w:rPr>
                <w:rFonts w:hint="eastAsia" w:ascii="仿宋_GB2312"/>
                <w:color w:val="auto"/>
                <w:sz w:val="28"/>
                <w:szCs w:val="28"/>
              </w:rPr>
              <w:t>）</w:t>
            </w:r>
          </w:p>
        </w:tc>
        <w:tc>
          <w:tcPr>
            <w:tcW w:w="1425" w:type="dxa"/>
            <w:vAlign w:val="center"/>
          </w:tcPr>
          <w:p>
            <w:pPr>
              <w:spacing w:line="240" w:lineRule="auto"/>
              <w:ind w:firstLine="0" w:firstLineChars="0"/>
              <w:jc w:val="center"/>
              <w:rPr>
                <w:rFonts w:ascii="仿宋_GB2312"/>
                <w:color w:val="auto"/>
                <w:sz w:val="28"/>
                <w:szCs w:val="28"/>
              </w:rPr>
            </w:pPr>
            <w:r>
              <w:rPr>
                <w:rFonts w:ascii="仿宋_GB2312"/>
                <w:color w:val="auto"/>
                <w:sz w:val="28"/>
                <w:szCs w:val="28"/>
              </w:rPr>
              <w:t>1</w:t>
            </w:r>
            <w:r>
              <w:rPr>
                <w:rFonts w:hint="eastAsia" w:ascii="仿宋_GB2312"/>
                <w:color w:val="auto"/>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508" w:type="dxa"/>
            <w:vMerge w:val="continue"/>
            <w:vAlign w:val="center"/>
          </w:tcPr>
          <w:p>
            <w:pPr>
              <w:spacing w:line="240" w:lineRule="auto"/>
              <w:ind w:firstLine="0" w:firstLineChars="0"/>
              <w:jc w:val="center"/>
              <w:rPr>
                <w:rFonts w:ascii="仿宋_GB2312"/>
                <w:sz w:val="28"/>
                <w:szCs w:val="28"/>
              </w:rPr>
            </w:pPr>
          </w:p>
        </w:tc>
        <w:tc>
          <w:tcPr>
            <w:tcW w:w="514" w:type="dxa"/>
            <w:vAlign w:val="center"/>
          </w:tcPr>
          <w:p>
            <w:pPr>
              <w:spacing w:line="240" w:lineRule="auto"/>
              <w:ind w:firstLine="0" w:firstLineChars="0"/>
              <w:jc w:val="center"/>
              <w:rPr>
                <w:rFonts w:ascii="仿宋_GB2312"/>
                <w:sz w:val="28"/>
                <w:szCs w:val="28"/>
                <w:lang w:bidi="zh-CN"/>
              </w:rPr>
            </w:pPr>
            <w:r>
              <w:rPr>
                <w:rFonts w:hint="eastAsia" w:ascii="仿宋_GB2312"/>
                <w:sz w:val="28"/>
                <w:szCs w:val="28"/>
                <w:lang w:bidi="zh-CN"/>
              </w:rPr>
              <w:t>4</w:t>
            </w:r>
          </w:p>
        </w:tc>
        <w:tc>
          <w:tcPr>
            <w:tcW w:w="3459" w:type="dxa"/>
            <w:vAlign w:val="center"/>
          </w:tcPr>
          <w:p>
            <w:pPr>
              <w:spacing w:line="240" w:lineRule="auto"/>
              <w:ind w:firstLine="0" w:firstLineChars="0"/>
              <w:jc w:val="center"/>
              <w:rPr>
                <w:rFonts w:ascii="仿宋_GB2312"/>
                <w:sz w:val="28"/>
                <w:szCs w:val="28"/>
              </w:rPr>
            </w:pPr>
            <w:r>
              <w:rPr>
                <w:rFonts w:hint="eastAsia" w:ascii="仿宋_GB2312"/>
                <w:sz w:val="28"/>
                <w:szCs w:val="28"/>
              </w:rPr>
              <w:t>五星级酒店</w:t>
            </w:r>
          </w:p>
        </w:tc>
        <w:tc>
          <w:tcPr>
            <w:tcW w:w="1165" w:type="dxa"/>
            <w:vAlign w:val="center"/>
          </w:tcPr>
          <w:p>
            <w:pPr>
              <w:spacing w:line="240" w:lineRule="auto"/>
              <w:ind w:firstLine="0" w:firstLineChars="0"/>
              <w:jc w:val="center"/>
              <w:rPr>
                <w:rFonts w:ascii="仿宋_GB2312"/>
                <w:sz w:val="28"/>
                <w:szCs w:val="28"/>
              </w:rPr>
            </w:pPr>
            <w:r>
              <w:rPr>
                <w:rFonts w:hint="eastAsia" w:ascii="仿宋_GB2312"/>
                <w:sz w:val="28"/>
                <w:szCs w:val="28"/>
              </w:rPr>
              <w:t>家</w:t>
            </w:r>
          </w:p>
        </w:tc>
        <w:tc>
          <w:tcPr>
            <w:tcW w:w="1571" w:type="dxa"/>
            <w:vAlign w:val="center"/>
          </w:tcPr>
          <w:p>
            <w:pPr>
              <w:spacing w:line="240" w:lineRule="auto"/>
              <w:ind w:firstLine="0" w:firstLineChars="0"/>
              <w:jc w:val="center"/>
              <w:rPr>
                <w:rFonts w:ascii="仿宋_GB2312"/>
                <w:sz w:val="28"/>
                <w:szCs w:val="28"/>
              </w:rPr>
            </w:pPr>
            <w:r>
              <w:rPr>
                <w:rFonts w:hint="eastAsia" w:ascii="仿宋_GB2312"/>
                <w:sz w:val="28"/>
                <w:szCs w:val="28"/>
              </w:rPr>
              <w:t>2</w:t>
            </w:r>
          </w:p>
        </w:tc>
        <w:tc>
          <w:tcPr>
            <w:tcW w:w="1425" w:type="dxa"/>
            <w:vAlign w:val="center"/>
          </w:tcPr>
          <w:p>
            <w:pPr>
              <w:spacing w:line="240" w:lineRule="auto"/>
              <w:ind w:firstLine="0" w:firstLineChars="0"/>
              <w:jc w:val="center"/>
              <w:rPr>
                <w:rFonts w:ascii="仿宋_GB2312"/>
                <w:sz w:val="28"/>
                <w:szCs w:val="28"/>
              </w:rPr>
            </w:pPr>
            <w:r>
              <w:rPr>
                <w:rFonts w:ascii="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508" w:type="dxa"/>
            <w:vMerge w:val="continue"/>
            <w:vAlign w:val="center"/>
          </w:tcPr>
          <w:p>
            <w:pPr>
              <w:spacing w:line="240" w:lineRule="auto"/>
              <w:ind w:firstLine="0" w:firstLineChars="0"/>
              <w:jc w:val="center"/>
              <w:rPr>
                <w:rFonts w:ascii="仿宋_GB2312"/>
                <w:sz w:val="28"/>
                <w:szCs w:val="28"/>
              </w:rPr>
            </w:pPr>
          </w:p>
        </w:tc>
        <w:tc>
          <w:tcPr>
            <w:tcW w:w="514" w:type="dxa"/>
            <w:vAlign w:val="center"/>
          </w:tcPr>
          <w:p>
            <w:pPr>
              <w:spacing w:line="240" w:lineRule="auto"/>
              <w:ind w:firstLine="0" w:firstLineChars="0"/>
              <w:jc w:val="center"/>
              <w:rPr>
                <w:rFonts w:ascii="仿宋_GB2312"/>
                <w:sz w:val="28"/>
                <w:szCs w:val="28"/>
                <w:lang w:bidi="zh-CN"/>
              </w:rPr>
            </w:pPr>
            <w:r>
              <w:rPr>
                <w:rFonts w:hint="eastAsia" w:ascii="仿宋_GB2312"/>
                <w:sz w:val="28"/>
                <w:szCs w:val="28"/>
                <w:lang w:bidi="zh-CN"/>
              </w:rPr>
              <w:t>5</w:t>
            </w:r>
          </w:p>
        </w:tc>
        <w:tc>
          <w:tcPr>
            <w:tcW w:w="3459" w:type="dxa"/>
            <w:vAlign w:val="center"/>
          </w:tcPr>
          <w:p>
            <w:pPr>
              <w:spacing w:line="240" w:lineRule="auto"/>
              <w:ind w:firstLine="0" w:firstLineChars="0"/>
              <w:jc w:val="center"/>
              <w:rPr>
                <w:rFonts w:ascii="仿宋_GB2312"/>
                <w:sz w:val="28"/>
                <w:szCs w:val="28"/>
              </w:rPr>
            </w:pPr>
            <w:r>
              <w:rPr>
                <w:rFonts w:hint="eastAsia" w:ascii="仿宋_GB2312"/>
                <w:sz w:val="28"/>
                <w:szCs w:val="28"/>
              </w:rPr>
              <w:t>国家级旅游度假区</w:t>
            </w:r>
          </w:p>
        </w:tc>
        <w:tc>
          <w:tcPr>
            <w:tcW w:w="1165" w:type="dxa"/>
            <w:vAlign w:val="center"/>
          </w:tcPr>
          <w:p>
            <w:pPr>
              <w:spacing w:line="240" w:lineRule="auto"/>
              <w:ind w:firstLine="0" w:firstLineChars="0"/>
              <w:jc w:val="center"/>
              <w:rPr>
                <w:rFonts w:ascii="仿宋_GB2312"/>
                <w:sz w:val="28"/>
                <w:szCs w:val="28"/>
              </w:rPr>
            </w:pPr>
            <w:r>
              <w:rPr>
                <w:rFonts w:hint="eastAsia" w:ascii="仿宋_GB2312"/>
                <w:sz w:val="28"/>
                <w:szCs w:val="28"/>
              </w:rPr>
              <w:t>个</w:t>
            </w:r>
          </w:p>
        </w:tc>
        <w:tc>
          <w:tcPr>
            <w:tcW w:w="1571" w:type="dxa"/>
            <w:vAlign w:val="center"/>
          </w:tcPr>
          <w:p>
            <w:pPr>
              <w:spacing w:line="240" w:lineRule="auto"/>
              <w:ind w:firstLine="0" w:firstLineChars="0"/>
              <w:jc w:val="center"/>
              <w:rPr>
                <w:rFonts w:ascii="仿宋_GB2312"/>
                <w:sz w:val="28"/>
                <w:szCs w:val="28"/>
              </w:rPr>
            </w:pPr>
            <w:r>
              <w:rPr>
                <w:rFonts w:ascii="仿宋_GB2312"/>
                <w:sz w:val="28"/>
                <w:szCs w:val="28"/>
              </w:rPr>
              <w:t>0</w:t>
            </w:r>
          </w:p>
        </w:tc>
        <w:tc>
          <w:tcPr>
            <w:tcW w:w="1425" w:type="dxa"/>
            <w:vAlign w:val="center"/>
          </w:tcPr>
          <w:p>
            <w:pPr>
              <w:spacing w:line="240" w:lineRule="auto"/>
              <w:ind w:firstLine="0" w:firstLineChars="0"/>
              <w:jc w:val="center"/>
              <w:rPr>
                <w:rFonts w:ascii="仿宋_GB2312"/>
                <w:sz w:val="28"/>
                <w:szCs w:val="28"/>
              </w:rPr>
            </w:pPr>
            <w:r>
              <w:rPr>
                <w:rFonts w:ascii="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508" w:type="dxa"/>
            <w:vMerge w:val="continue"/>
            <w:vAlign w:val="center"/>
          </w:tcPr>
          <w:p>
            <w:pPr>
              <w:spacing w:line="240" w:lineRule="auto"/>
              <w:ind w:firstLine="0" w:firstLineChars="0"/>
              <w:jc w:val="center"/>
              <w:rPr>
                <w:rFonts w:ascii="仿宋_GB2312"/>
                <w:sz w:val="28"/>
                <w:szCs w:val="28"/>
              </w:rPr>
            </w:pPr>
          </w:p>
        </w:tc>
        <w:tc>
          <w:tcPr>
            <w:tcW w:w="514" w:type="dxa"/>
            <w:vAlign w:val="center"/>
          </w:tcPr>
          <w:p>
            <w:pPr>
              <w:spacing w:line="240" w:lineRule="auto"/>
              <w:ind w:firstLine="0" w:firstLineChars="0"/>
              <w:jc w:val="center"/>
              <w:rPr>
                <w:rFonts w:ascii="仿宋_GB2312"/>
                <w:sz w:val="28"/>
                <w:szCs w:val="28"/>
                <w:lang w:bidi="zh-CN"/>
              </w:rPr>
            </w:pPr>
            <w:r>
              <w:rPr>
                <w:rFonts w:hint="eastAsia" w:ascii="仿宋_GB2312"/>
                <w:sz w:val="28"/>
                <w:szCs w:val="28"/>
                <w:lang w:val="en-US" w:bidi="zh-CN"/>
              </w:rPr>
              <w:t>6</w:t>
            </w:r>
          </w:p>
        </w:tc>
        <w:tc>
          <w:tcPr>
            <w:tcW w:w="3459" w:type="dxa"/>
            <w:vAlign w:val="center"/>
          </w:tcPr>
          <w:p>
            <w:pPr>
              <w:spacing w:line="240" w:lineRule="auto"/>
              <w:ind w:firstLine="0" w:firstLineChars="0"/>
              <w:jc w:val="center"/>
              <w:rPr>
                <w:rFonts w:ascii="仿宋_GB2312"/>
                <w:sz w:val="28"/>
                <w:szCs w:val="28"/>
              </w:rPr>
            </w:pPr>
            <w:r>
              <w:rPr>
                <w:rFonts w:hint="eastAsia" w:ascii="仿宋_GB2312"/>
                <w:sz w:val="28"/>
                <w:szCs w:val="28"/>
              </w:rPr>
              <w:t>全国乡村旅游重点村</w:t>
            </w:r>
          </w:p>
        </w:tc>
        <w:tc>
          <w:tcPr>
            <w:tcW w:w="1165" w:type="dxa"/>
            <w:vAlign w:val="center"/>
          </w:tcPr>
          <w:p>
            <w:pPr>
              <w:spacing w:line="240" w:lineRule="auto"/>
              <w:ind w:firstLine="0" w:firstLineChars="0"/>
              <w:jc w:val="center"/>
              <w:rPr>
                <w:rFonts w:ascii="仿宋_GB2312"/>
                <w:sz w:val="28"/>
                <w:szCs w:val="28"/>
              </w:rPr>
            </w:pPr>
            <w:r>
              <w:rPr>
                <w:rFonts w:hint="eastAsia" w:ascii="仿宋_GB2312"/>
                <w:sz w:val="28"/>
                <w:szCs w:val="28"/>
              </w:rPr>
              <w:t>个</w:t>
            </w:r>
          </w:p>
        </w:tc>
        <w:tc>
          <w:tcPr>
            <w:tcW w:w="1571" w:type="dxa"/>
            <w:vAlign w:val="center"/>
          </w:tcPr>
          <w:p>
            <w:pPr>
              <w:spacing w:line="240" w:lineRule="auto"/>
              <w:ind w:firstLine="0" w:firstLineChars="0"/>
              <w:jc w:val="center"/>
              <w:rPr>
                <w:rFonts w:ascii="仿宋_GB2312"/>
                <w:sz w:val="28"/>
                <w:szCs w:val="28"/>
              </w:rPr>
            </w:pPr>
            <w:r>
              <w:rPr>
                <w:rFonts w:ascii="仿宋_GB2312"/>
                <w:sz w:val="28"/>
                <w:szCs w:val="28"/>
              </w:rPr>
              <w:t>7</w:t>
            </w:r>
          </w:p>
        </w:tc>
        <w:tc>
          <w:tcPr>
            <w:tcW w:w="1425" w:type="dxa"/>
            <w:vAlign w:val="center"/>
          </w:tcPr>
          <w:p>
            <w:pPr>
              <w:spacing w:line="240" w:lineRule="auto"/>
              <w:ind w:firstLine="0" w:firstLineChars="0"/>
              <w:jc w:val="center"/>
              <w:rPr>
                <w:rFonts w:ascii="仿宋_GB2312"/>
                <w:sz w:val="28"/>
                <w:szCs w:val="28"/>
              </w:rPr>
            </w:pPr>
            <w:r>
              <w:rPr>
                <w:rFonts w:ascii="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508" w:type="dxa"/>
            <w:vMerge w:val="continue"/>
            <w:vAlign w:val="center"/>
          </w:tcPr>
          <w:p>
            <w:pPr>
              <w:spacing w:line="240" w:lineRule="auto"/>
              <w:ind w:firstLine="0" w:firstLineChars="0"/>
              <w:jc w:val="center"/>
              <w:rPr>
                <w:rFonts w:ascii="仿宋_GB2312"/>
                <w:sz w:val="28"/>
                <w:szCs w:val="28"/>
              </w:rPr>
            </w:pPr>
          </w:p>
        </w:tc>
        <w:tc>
          <w:tcPr>
            <w:tcW w:w="514" w:type="dxa"/>
            <w:vAlign w:val="center"/>
          </w:tcPr>
          <w:p>
            <w:pPr>
              <w:spacing w:line="240" w:lineRule="auto"/>
              <w:ind w:firstLine="0" w:firstLineChars="0"/>
              <w:jc w:val="center"/>
              <w:rPr>
                <w:rFonts w:ascii="仿宋_GB2312"/>
                <w:sz w:val="28"/>
                <w:szCs w:val="28"/>
                <w:lang w:bidi="zh-CN"/>
              </w:rPr>
            </w:pPr>
            <w:r>
              <w:rPr>
                <w:rFonts w:hint="eastAsia" w:ascii="仿宋_GB2312"/>
                <w:sz w:val="28"/>
                <w:szCs w:val="28"/>
                <w:lang w:val="en-US" w:bidi="zh-CN"/>
              </w:rPr>
              <w:t>7</w:t>
            </w:r>
          </w:p>
        </w:tc>
        <w:tc>
          <w:tcPr>
            <w:tcW w:w="3459" w:type="dxa"/>
            <w:vAlign w:val="center"/>
          </w:tcPr>
          <w:p>
            <w:pPr>
              <w:spacing w:line="240" w:lineRule="auto"/>
              <w:ind w:firstLine="0" w:firstLineChars="0"/>
              <w:jc w:val="center"/>
              <w:rPr>
                <w:rFonts w:ascii="仿宋_GB2312"/>
                <w:sz w:val="28"/>
                <w:szCs w:val="28"/>
              </w:rPr>
            </w:pPr>
            <w:r>
              <w:rPr>
                <w:rFonts w:hint="eastAsia" w:ascii="仿宋_GB2312"/>
                <w:sz w:val="28"/>
                <w:szCs w:val="28"/>
              </w:rPr>
              <w:t>国家级旅游休闲街区</w:t>
            </w:r>
          </w:p>
        </w:tc>
        <w:tc>
          <w:tcPr>
            <w:tcW w:w="1165" w:type="dxa"/>
            <w:vAlign w:val="center"/>
          </w:tcPr>
          <w:p>
            <w:pPr>
              <w:spacing w:line="240" w:lineRule="auto"/>
              <w:ind w:firstLine="0" w:firstLineChars="0"/>
              <w:jc w:val="center"/>
              <w:rPr>
                <w:rFonts w:ascii="仿宋_GB2312"/>
                <w:sz w:val="28"/>
                <w:szCs w:val="28"/>
              </w:rPr>
            </w:pPr>
            <w:r>
              <w:rPr>
                <w:rFonts w:hint="eastAsia" w:ascii="仿宋_GB2312"/>
                <w:sz w:val="28"/>
                <w:szCs w:val="28"/>
              </w:rPr>
              <w:t>个</w:t>
            </w:r>
          </w:p>
        </w:tc>
        <w:tc>
          <w:tcPr>
            <w:tcW w:w="1571" w:type="dxa"/>
            <w:vAlign w:val="center"/>
          </w:tcPr>
          <w:p>
            <w:pPr>
              <w:spacing w:line="240" w:lineRule="auto"/>
              <w:ind w:firstLine="0" w:firstLineChars="0"/>
              <w:jc w:val="center"/>
              <w:rPr>
                <w:rFonts w:ascii="仿宋_GB2312"/>
                <w:sz w:val="28"/>
                <w:szCs w:val="28"/>
              </w:rPr>
            </w:pPr>
            <w:r>
              <w:rPr>
                <w:rFonts w:ascii="仿宋_GB2312"/>
                <w:sz w:val="28"/>
                <w:szCs w:val="28"/>
              </w:rPr>
              <w:t>1</w:t>
            </w:r>
          </w:p>
        </w:tc>
        <w:tc>
          <w:tcPr>
            <w:tcW w:w="1425" w:type="dxa"/>
            <w:vAlign w:val="center"/>
          </w:tcPr>
          <w:p>
            <w:pPr>
              <w:spacing w:line="240" w:lineRule="auto"/>
              <w:ind w:firstLine="0" w:firstLineChars="0"/>
              <w:jc w:val="center"/>
              <w:rPr>
                <w:rFonts w:ascii="仿宋_GB2312"/>
                <w:sz w:val="28"/>
                <w:szCs w:val="28"/>
              </w:rPr>
            </w:pPr>
            <w:r>
              <w:rPr>
                <w:rFonts w:hint="eastAsia" w:ascii="仿宋_GB2312"/>
                <w:sz w:val="28"/>
                <w:szCs w:val="28"/>
              </w:rPr>
              <w:t>1</w:t>
            </w:r>
          </w:p>
        </w:tc>
      </w:tr>
      <w:bookmarkEnd w:id="12"/>
    </w:tbl>
    <w:p>
      <w:pPr>
        <w:pStyle w:val="3"/>
        <w:spacing w:before="217" w:after="217"/>
        <w:ind w:firstLine="643"/>
      </w:pPr>
      <w:bookmarkStart w:id="13" w:name="_Toc231465184"/>
      <w:r>
        <w:rPr>
          <w:rFonts w:hint="eastAsia"/>
        </w:rPr>
        <w:t>三、发展布局</w:t>
      </w:r>
      <w:bookmarkEnd w:id="13"/>
    </w:p>
    <w:p>
      <w:r>
        <w:rPr>
          <w:rFonts w:hint="eastAsia"/>
        </w:rPr>
        <w:t>统筹龙岩市及各县（市、区）文化和旅游发展现状以及资源属性，全面构建“12345”文旅发展格局。</w:t>
      </w:r>
    </w:p>
    <w:p>
      <w:pPr>
        <w:ind w:firstLine="643"/>
      </w:pPr>
      <w:r>
        <w:rPr>
          <w:rFonts w:hint="eastAsia"/>
          <w:b/>
          <w:bCs/>
        </w:rPr>
        <w:t>围绕1个主题：</w:t>
      </w:r>
      <w:r>
        <w:rPr>
          <w:rFonts w:hint="eastAsia"/>
        </w:rPr>
        <w:t>树立全市“一盘棋”思想，打响“清新福建·五彩龙岩”城市品牌。</w:t>
      </w:r>
    </w:p>
    <w:p>
      <w:pPr>
        <w:ind w:firstLine="643"/>
      </w:pPr>
      <w:r>
        <w:rPr>
          <w:rFonts w:hint="eastAsia"/>
          <w:b/>
          <w:bCs/>
        </w:rPr>
        <w:t>突出2条主线</w:t>
      </w:r>
      <w:r>
        <w:rPr>
          <w:rFonts w:hint="eastAsia"/>
        </w:rPr>
        <w:t>：突出红色文化、客家文化两条主线，推进国家级客家文化（闽西）生态保护区</w:t>
      </w:r>
      <w:r>
        <w:rPr>
          <w:rFonts w:hint="eastAsia"/>
          <w:lang w:eastAsia="zh-CN"/>
        </w:rPr>
        <w:t>建设，推动</w:t>
      </w:r>
      <w:r>
        <w:rPr>
          <w:rFonts w:hint="eastAsia"/>
        </w:rPr>
        <w:t>长征国家文化公园（龙岩段）</w:t>
      </w:r>
      <w:r>
        <w:rPr>
          <w:rFonts w:hint="eastAsia"/>
          <w:color w:val="auto"/>
        </w:rPr>
        <w:t>、</w:t>
      </w:r>
      <w:r>
        <w:rPr>
          <w:rFonts w:hint="eastAsia"/>
          <w:color w:val="auto"/>
          <w:lang w:eastAsia="zh-CN"/>
        </w:rPr>
        <w:t>长汀南大街历史文化街区保护提升、客家文化（闽西）非物质文化遗产传承体验及配套设施</w:t>
      </w:r>
      <w:r>
        <w:rPr>
          <w:rFonts w:hint="eastAsia"/>
        </w:rPr>
        <w:t>等项目建设。</w:t>
      </w:r>
    </w:p>
    <w:p>
      <w:pPr>
        <w:ind w:firstLine="643"/>
      </w:pPr>
      <w:r>
        <w:rPr>
          <w:rFonts w:hint="eastAsia"/>
          <w:b/>
          <w:bCs/>
        </w:rPr>
        <w:t>构建3条文化旅游带</w:t>
      </w:r>
      <w:r>
        <w:rPr>
          <w:rFonts w:hint="eastAsia"/>
        </w:rPr>
        <w:t>：立足全市文旅资源禀赋，加快构建红色文化旅游带、绿色休闲文化旅游带、客家文化旅游带，推动全域旅游发展。</w:t>
      </w:r>
    </w:p>
    <w:p>
      <w:pPr>
        <w:ind w:firstLine="643"/>
      </w:pPr>
      <w:r>
        <w:rPr>
          <w:rFonts w:hint="eastAsia"/>
          <w:b/>
          <w:bCs/>
        </w:rPr>
        <w:t>打造4个文旅集聚区</w:t>
      </w:r>
      <w:r>
        <w:rPr>
          <w:rFonts w:hint="eastAsia"/>
        </w:rPr>
        <w:t>：以永定土楼景区为核心，打造世界遗产地文旅集聚区；以古田会址景区为核心，打造全国知名红色旅游聚集区；以冠豸山景区为核心，打造闽粤赣边区域文旅康养消费聚集区；以长汀古城为核心，打造客家文化旅游聚集区，争创国家级旅游度假区。</w:t>
      </w:r>
    </w:p>
    <w:p>
      <w:pPr>
        <w:ind w:firstLine="643"/>
      </w:pPr>
      <w:r>
        <w:rPr>
          <w:rFonts w:hint="eastAsia"/>
          <w:b/>
          <w:bCs/>
        </w:rPr>
        <w:t>打响5大文旅品牌</w:t>
      </w:r>
      <w:r>
        <w:rPr>
          <w:rFonts w:hint="eastAsia"/>
        </w:rPr>
        <w:t>：一是古田红色游、永定土楼游、长汀古城游、丹霞温泉游、休闲生态游“五大游”品牌；二是“客家非遗奇妙夜”品牌；三是“客家美食宴”品牌；四是“重走中央红军长征路”品牌；五是“百万老广”“百万A萌郎”“百万阿拉”游龙岩活动品牌。</w:t>
      </w:r>
    </w:p>
    <w:p>
      <w:pPr>
        <w:widowControl/>
        <w:adjustRightInd/>
        <w:snapToGrid/>
        <w:spacing w:after="160" w:line="278" w:lineRule="auto"/>
        <w:ind w:firstLine="0" w:firstLineChars="0"/>
        <w:jc w:val="left"/>
      </w:pPr>
      <w:r>
        <w:br w:type="page"/>
      </w:r>
    </w:p>
    <w:p>
      <w:pPr>
        <w:pStyle w:val="2"/>
        <w:spacing w:before="217" w:after="435"/>
      </w:pPr>
      <w:bookmarkStart w:id="14" w:name="_Toc231465185"/>
      <w:r>
        <w:rPr>
          <w:rFonts w:hint="eastAsia"/>
        </w:rPr>
        <w:t xml:space="preserve">第三章 </w:t>
      </w:r>
      <w:r>
        <w:t xml:space="preserve"> </w:t>
      </w:r>
      <w:r>
        <w:rPr>
          <w:rFonts w:hint="eastAsia"/>
        </w:rPr>
        <w:t>主要发展任务</w:t>
      </w:r>
      <w:bookmarkEnd w:id="14"/>
    </w:p>
    <w:p>
      <w:pPr>
        <w:pStyle w:val="3"/>
        <w:spacing w:before="217" w:after="217"/>
        <w:ind w:firstLine="643"/>
      </w:pPr>
      <w:bookmarkStart w:id="15" w:name="_Toc193735121"/>
      <w:bookmarkStart w:id="16" w:name="_Toc231465186"/>
      <w:r>
        <w:rPr>
          <w:rFonts w:hint="eastAsia"/>
        </w:rPr>
        <w:t>一、繁荣文化</w:t>
      </w:r>
      <w:bookmarkEnd w:id="15"/>
      <w:r>
        <w:rPr>
          <w:rFonts w:hint="eastAsia"/>
        </w:rPr>
        <w:t>艺术创作生产</w:t>
      </w:r>
      <w:bookmarkEnd w:id="16"/>
    </w:p>
    <w:p>
      <w:pPr>
        <w:pStyle w:val="4"/>
        <w:spacing w:before="217" w:after="217"/>
        <w:ind w:firstLine="643"/>
        <w:rPr>
          <w:shd w:val="clear" w:color="auto" w:fill="FFFFFF"/>
        </w:rPr>
      </w:pPr>
      <w:bookmarkStart w:id="17" w:name="_Toc231465187"/>
      <w:r>
        <w:rPr>
          <w:rFonts w:hint="eastAsia"/>
          <w:shd w:val="clear" w:color="auto" w:fill="FFFFFF"/>
        </w:rPr>
        <w:t>（一）实施文艺创作精品战略</w:t>
      </w:r>
      <w:bookmarkEnd w:id="17"/>
    </w:p>
    <w:p>
      <w:pPr>
        <w:ind w:firstLine="640"/>
      </w:pPr>
      <w:bookmarkStart w:id="18" w:name="OLE_LINK18"/>
      <w:r>
        <w:t>深挖红色、客家、生态文化资源，实施闽西汉剧、美术、原创音乐等精品创作工程，推动文化资源与现代艺术融合，打造沉浸式演艺、数字艺术作品，促进文艺精品与文旅文创联动发展。推动文艺创作下沉赋能乡村，依托</w:t>
      </w:r>
      <w:r>
        <w:rPr>
          <w:rFonts w:hint="eastAsia" w:ascii="仿宋_GB2312"/>
          <w:szCs w:val="32"/>
        </w:rPr>
        <w:t>客家乡村狂欢节等</w:t>
      </w:r>
      <w:r>
        <w:t>传统节庆</w:t>
      </w:r>
      <w:r>
        <w:rPr>
          <w:rFonts w:hint="eastAsia"/>
        </w:rPr>
        <w:t>和</w:t>
      </w:r>
      <w:r>
        <w:t>展演平台，激发民间文艺活力，引导创作乡土艺术精品，提升乡村文化创作能力与内生动力。</w:t>
      </w:r>
    </w:p>
    <w:bookmarkEnd w:id="18"/>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0" w:firstLineChars="0"/>
              <w:jc w:val="center"/>
              <w:rPr>
                <w:b/>
                <w:bCs/>
              </w:rPr>
            </w:pPr>
            <w:bookmarkStart w:id="19" w:name="OLE_LINK17"/>
            <w:r>
              <w:rPr>
                <w:rFonts w:hint="eastAsia"/>
                <w:b/>
                <w:bCs/>
              </w:rPr>
              <w:t>专栏  文艺创作精品工程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rPr>
                <w:rFonts w:hint="eastAsia" w:ascii="仿宋_GB2312" w:hAnsi="仿宋_GB2312" w:cs="仿宋_GB2312"/>
                <w:szCs w:val="32"/>
              </w:rPr>
            </w:pPr>
            <w:r>
              <w:rPr>
                <w:rFonts w:hint="eastAsia"/>
                <w:b/>
                <w:bCs/>
              </w:rPr>
              <w:t>舞台艺术精品工程。</w:t>
            </w:r>
            <w:r>
              <w:rPr>
                <w:rFonts w:hint="eastAsia"/>
              </w:rPr>
              <w:t>提升闽西汉剧</w:t>
            </w:r>
            <w:r>
              <w:rPr>
                <w:rFonts w:hint="eastAsia" w:ascii="仿宋_GB2312" w:hAnsi="仿宋_GB2312" w:cs="仿宋_GB2312"/>
                <w:szCs w:val="32"/>
              </w:rPr>
              <w:t>《伯公灯》</w:t>
            </w:r>
            <w:r>
              <w:rPr>
                <w:szCs w:val="32"/>
              </w:rPr>
              <w:t>《王景弘》《魏侃夫》</w:t>
            </w:r>
            <w:r>
              <w:rPr>
                <w:rFonts w:hint="eastAsia" w:ascii="仿宋_GB2312" w:hAnsi="仿宋_GB2312" w:cs="仿宋_GB2312"/>
                <w:szCs w:val="32"/>
              </w:rPr>
              <w:t>《审六曲》《春娘曲》、闽西汉剧现代戏《子时决》、山歌戏《红</w:t>
            </w:r>
            <w:r>
              <w:rPr>
                <w:rFonts w:hint="eastAsia"/>
                <w:szCs w:val="32"/>
              </w:rPr>
              <w:t>嫲</w:t>
            </w:r>
            <w:r>
              <w:rPr>
                <w:rFonts w:hint="eastAsia" w:ascii="仿宋_GB2312" w:hAnsi="仿宋_GB2312" w:cs="仿宋_GB2312"/>
                <w:szCs w:val="32"/>
              </w:rPr>
              <w:t>》、</w:t>
            </w:r>
            <w:r>
              <w:rPr>
                <w:rFonts w:hint="eastAsia" w:ascii="仿宋" w:hAnsi="仿宋" w:eastAsia="仿宋" w:cs="仿宋"/>
                <w:szCs w:val="32"/>
              </w:rPr>
              <w:t>非遗歌舞集《客梦千年》等艺术精品，继续引进</w:t>
            </w:r>
            <w:r>
              <w:rPr>
                <w:rFonts w:hint="eastAsia" w:ascii="仿宋_GB2312" w:hAnsi="仿宋_GB2312" w:cs="仿宋_GB2312"/>
                <w:szCs w:val="32"/>
              </w:rPr>
              <w:t>国内外知名舞台演艺团队来岩演出，加强交流，提升龙岩当地演艺团队的创作水平。围绕红色文化、客家文化等地方文化特色，“十五五”期间推出高水平原创舞台艺术作品，力争获得国家级荣誉。</w:t>
            </w:r>
          </w:p>
          <w:p>
            <w:pPr>
              <w:ind w:firstLine="643"/>
            </w:pPr>
            <w:r>
              <w:rPr>
                <w:rFonts w:hint="eastAsia"/>
                <w:b/>
                <w:bCs/>
              </w:rPr>
              <w:t>美术创作精品工程。</w:t>
            </w:r>
            <w:r>
              <w:rPr>
                <w:rFonts w:hint="eastAsia"/>
              </w:rPr>
              <w:t>继续办好“仰望秋岳——中国画山水作品展”等品牌活动，</w:t>
            </w:r>
            <w:r>
              <w:t>争取</w:t>
            </w:r>
            <w:r>
              <w:rPr>
                <w:rFonts w:hint="eastAsia" w:ascii="仿宋_GB2312" w:hAnsi="仿宋_GB2312" w:cs="仿宋_GB2312"/>
                <w:szCs w:val="32"/>
              </w:rPr>
              <w:t>“中国画双年展”</w:t>
            </w:r>
            <w:r>
              <w:t>常态化举办</w:t>
            </w:r>
            <w:r>
              <w:rPr>
                <w:rFonts w:hint="eastAsia"/>
              </w:rPr>
              <w:t>。发挥好龙岩市美术家协会的引导作用，组织画家深入古田、土楼、冠豸山等一线采风，创作一批彰显龙岩特色，</w:t>
            </w:r>
            <w:r>
              <w:t>兼具思想性与艺术性的美术精品</w:t>
            </w:r>
            <w:r>
              <w:rPr>
                <w:rFonts w:hint="eastAsia"/>
              </w:rPr>
              <w:t>。</w:t>
            </w:r>
          </w:p>
          <w:p>
            <w:pPr>
              <w:ind w:firstLine="643"/>
              <w:rPr>
                <w:b/>
                <w:bCs/>
                <w:szCs w:val="30"/>
              </w:rPr>
            </w:pPr>
            <w:r>
              <w:rPr>
                <w:rFonts w:hint="eastAsia"/>
                <w:b/>
                <w:bCs/>
              </w:rPr>
              <w:t>文学及音乐精品工程</w:t>
            </w:r>
            <w:r>
              <w:rPr>
                <w:rFonts w:hint="eastAsia"/>
                <w:b/>
                <w:bCs/>
                <w:szCs w:val="30"/>
              </w:rPr>
              <w:t>。</w:t>
            </w:r>
            <w:r>
              <w:rPr>
                <w:rFonts w:hint="eastAsia"/>
                <w:szCs w:val="30"/>
              </w:rPr>
              <w:t>坚持正确导向，赓续红色血脉，讲好闽西故事，通过举办创作笔会、作品研讨、文学讲座等形式，激活创作活力，创作兼具地域标识与时代视野的文学作品。</w:t>
            </w:r>
            <w:r>
              <w:rPr>
                <w:rFonts w:hint="eastAsia" w:ascii="仿宋_GB2312" w:hAnsi="仿宋_GB2312" w:cs="仿宋_GB2312"/>
                <w:szCs w:val="32"/>
              </w:rPr>
              <w:t>大力推动原创音乐发展</w:t>
            </w:r>
            <w:r>
              <w:rPr>
                <w:rFonts w:hint="eastAsia" w:ascii="Helvetica Neue" w:hAnsi="Helvetica Neue"/>
                <w:spacing w:val="8"/>
                <w:shd w:val="clear" w:color="auto" w:fill="FFFFFF"/>
              </w:rPr>
              <w:t>。</w:t>
            </w:r>
          </w:p>
          <w:p>
            <w:pPr>
              <w:ind w:firstLine="643"/>
            </w:pPr>
            <w:r>
              <w:rPr>
                <w:rFonts w:hint="eastAsia"/>
                <w:b/>
                <w:bCs/>
                <w:szCs w:val="30"/>
              </w:rPr>
              <w:t>旅游演艺精品工程。</w:t>
            </w:r>
            <w:r>
              <w:rPr>
                <w:rFonts w:hint="eastAsia"/>
                <w:szCs w:val="30"/>
              </w:rPr>
              <w:t>提升歌舞剧《客》《客梦千年》《茶话武平》等龙岩现有旅游演艺项目的表现形式和体验观感。依托长汀县、上杭县、漳平市等一江两岸项目的建设，打造大型情景式演出、水幕电影等商业演艺精品项目。立足红色古田品牌，充分借鉴国内知名红色旅游景区演艺剧目的成功经验，</w:t>
            </w:r>
            <w:r>
              <w:rPr>
                <w:rFonts w:hint="eastAsia"/>
                <w:color w:val="auto"/>
                <w:szCs w:val="30"/>
                <w:lang w:eastAsia="zh-CN"/>
              </w:rPr>
              <w:t>着力</w:t>
            </w:r>
            <w:r>
              <w:rPr>
                <w:rFonts w:hint="eastAsia"/>
                <w:szCs w:val="30"/>
              </w:rPr>
              <w:t>打造具有全国知名度和影响力的沉浸式旅游演艺项目。</w:t>
            </w:r>
          </w:p>
        </w:tc>
      </w:tr>
      <w:bookmarkEnd w:id="19"/>
    </w:tbl>
    <w:p>
      <w:pPr>
        <w:pStyle w:val="4"/>
        <w:spacing w:before="217" w:after="217"/>
        <w:ind w:firstLine="643"/>
      </w:pPr>
      <w:bookmarkStart w:id="20" w:name="_Toc231465188"/>
      <w:r>
        <w:rPr>
          <w:rFonts w:hint="eastAsia"/>
        </w:rPr>
        <w:t>（二）加强文艺人才队伍建设</w:t>
      </w:r>
      <w:bookmarkEnd w:id="20"/>
    </w:p>
    <w:p>
      <w:pPr>
        <w:ind w:firstLine="640"/>
      </w:pPr>
      <w:bookmarkStart w:id="21" w:name="OLE_LINK4"/>
      <w:r>
        <w:rPr>
          <w:rFonts w:hint="eastAsia"/>
        </w:rPr>
        <w:t>以</w:t>
      </w:r>
      <w:r>
        <w:rPr>
          <w:rFonts w:hint="eastAsia"/>
          <w:lang w:eastAsia="zh-CN"/>
        </w:rPr>
        <w:t>文化和旅游</w:t>
      </w:r>
      <w:r>
        <w:rPr>
          <w:rFonts w:hint="eastAsia"/>
        </w:rPr>
        <w:t>部对口</w:t>
      </w:r>
      <w:bookmarkEnd w:id="21"/>
      <w:r>
        <w:rPr>
          <w:rFonts w:hint="eastAsia"/>
        </w:rPr>
        <w:t>帮扶为契机，积极对接国家文艺资源，引导龙岩市专业院团与</w:t>
      </w:r>
      <w:r>
        <w:rPr>
          <w:rFonts w:hint="eastAsia"/>
          <w:lang w:eastAsia="zh-CN"/>
        </w:rPr>
        <w:t>文化和旅游部</w:t>
      </w:r>
      <w:r>
        <w:rPr>
          <w:rFonts w:hint="eastAsia"/>
        </w:rPr>
        <w:t>直属国家级院团建立常态化交流合作</w:t>
      </w:r>
      <w:r>
        <w:rPr>
          <w:rFonts w:hint="eastAsia" w:ascii="仿宋_GB2312" w:hAnsi="仿宋_GB2312" w:cs="仿宋_GB2312"/>
          <w:szCs w:val="32"/>
        </w:rPr>
        <w:t>。精准引进国家级文艺大家，</w:t>
      </w:r>
      <w:r>
        <w:rPr>
          <w:rFonts w:hint="eastAsia" w:ascii="仿宋_GB2312" w:hAnsi="仿宋_GB2312" w:cs="仿宋_GB2312"/>
          <w:szCs w:val="32"/>
          <w:lang w:eastAsia="zh-CN"/>
        </w:rPr>
        <w:t>支持</w:t>
      </w:r>
      <w:r>
        <w:rPr>
          <w:rFonts w:hint="eastAsia" w:ascii="仿宋_GB2312" w:hAnsi="仿宋_GB2312" w:cs="仿宋_GB2312"/>
          <w:szCs w:val="32"/>
        </w:rPr>
        <w:t>设立龙岩工作室，开展精品创作，同时通过公益课堂、驻地指导和项目孵化等，培育本土青年文艺创作团队。</w:t>
      </w:r>
      <w:r>
        <w:rPr>
          <w:rFonts w:hint="eastAsia" w:ascii="Segoe UI" w:hAnsi="Segoe UI" w:cs="Segoe UI"/>
          <w:spacing w:val="-2"/>
          <w:shd w:val="clear" w:color="auto" w:fill="FFFFFF"/>
        </w:rPr>
        <w:t>支持民间文艺团队、艺人发展，不</w:t>
      </w:r>
      <w:r>
        <w:t>断壮大基层文化团队，让农村群众成为</w:t>
      </w:r>
      <w:r>
        <w:rPr>
          <w:rFonts w:hint="eastAsia"/>
        </w:rPr>
        <w:t>乡村文化振兴的核心参与者与受益者。</w:t>
      </w:r>
    </w:p>
    <w:p>
      <w:pPr>
        <w:pStyle w:val="3"/>
        <w:spacing w:before="217" w:after="217"/>
        <w:ind w:firstLine="643"/>
      </w:pPr>
      <w:bookmarkStart w:id="22" w:name="_Toc231465189"/>
      <w:r>
        <w:rPr>
          <w:rFonts w:hint="eastAsia"/>
        </w:rPr>
        <w:t>二、</w:t>
      </w:r>
      <w:bookmarkStart w:id="23" w:name="OLE_LINK3"/>
      <w:r>
        <w:rPr>
          <w:rFonts w:hint="eastAsia"/>
        </w:rPr>
        <w:t>完善文化遗产保护体系</w:t>
      </w:r>
      <w:bookmarkEnd w:id="22"/>
      <w:bookmarkEnd w:id="23"/>
    </w:p>
    <w:p>
      <w:pPr>
        <w:pStyle w:val="4"/>
        <w:spacing w:before="217" w:after="217"/>
        <w:ind w:firstLine="643"/>
        <w:rPr>
          <w:shd w:val="clear" w:color="auto" w:fill="FFFFFF"/>
        </w:rPr>
      </w:pPr>
      <w:bookmarkStart w:id="24" w:name="_Toc209645882"/>
      <w:bookmarkStart w:id="25" w:name="_Toc231465190"/>
      <w:r>
        <w:rPr>
          <w:rFonts w:hint="eastAsia"/>
          <w:shd w:val="clear" w:color="auto" w:fill="FFFFFF"/>
        </w:rPr>
        <w:t>（一）系统提升文物保护水平</w:t>
      </w:r>
      <w:bookmarkEnd w:id="24"/>
      <w:bookmarkEnd w:id="25"/>
    </w:p>
    <w:p>
      <w:pPr>
        <w:ind w:firstLine="643"/>
      </w:pPr>
      <w:bookmarkStart w:id="26" w:name="_Toc209645883"/>
      <w:r>
        <w:rPr>
          <w:b/>
          <w:bCs/>
        </w:rPr>
        <w:t>健全</w:t>
      </w:r>
      <w:r>
        <w:rPr>
          <w:rFonts w:hint="eastAsia"/>
          <w:b/>
          <w:bCs/>
        </w:rPr>
        <w:t>文物保护管理机制</w:t>
      </w:r>
      <w:r>
        <w:rPr>
          <w:rFonts w:hint="eastAsia"/>
        </w:rPr>
        <w:t>。深化与财政、自然资源等部门的联席会议制度，建立健全文物保护长效机制。落实落细永定土楼、古田会议旧址群、连城四堡书坊建筑、长汀革命旧址等重要文物集中片区的属地责任。</w:t>
      </w:r>
      <w:bookmarkStart w:id="27" w:name="OLE_LINK20"/>
      <w:r>
        <w:rPr>
          <w:rFonts w:hint="eastAsia"/>
        </w:rPr>
        <w:t>完善市、县两级文物保护协调机制</w:t>
      </w:r>
      <w:bookmarkEnd w:id="27"/>
      <w:r>
        <w:rPr>
          <w:rFonts w:hint="eastAsia"/>
        </w:rPr>
        <w:t>，将文物系统性保护利用和统一监管纳入常态化议事协调。</w:t>
      </w:r>
    </w:p>
    <w:p>
      <w:pPr>
        <w:ind w:firstLine="643"/>
      </w:pPr>
      <w:r>
        <w:rPr>
          <w:rFonts w:hint="eastAsia"/>
          <w:b/>
          <w:bCs/>
        </w:rPr>
        <w:t>加强文物资源普查管理</w:t>
      </w:r>
      <w:r>
        <w:rPr>
          <w:rFonts w:hint="eastAsia"/>
        </w:rPr>
        <w:t>。加强“四普”普查成果梳理认定和保护利用，</w:t>
      </w:r>
      <w:r>
        <w:rPr>
          <w:rFonts w:hint="eastAsia"/>
          <w:lang w:val="en-US" w:eastAsia="zh-CN"/>
        </w:rPr>
        <w:t>合理运用“四普”综合管理系统，建立</w:t>
      </w:r>
      <w:r>
        <w:rPr>
          <w:rFonts w:hint="eastAsia"/>
        </w:rPr>
        <w:t>涵盖永定土楼、革命文物、客家文物建筑等全类型的统一编码数字档案库</w:t>
      </w:r>
      <w:r>
        <w:rPr>
          <w:rFonts w:hint="eastAsia"/>
          <w:lang w:eastAsia="zh-CN"/>
        </w:rPr>
        <w:t>，</w:t>
      </w:r>
      <w:r>
        <w:rPr>
          <w:rFonts w:hint="eastAsia"/>
        </w:rPr>
        <w:t>完善不可移动文物保护管理措施。</w:t>
      </w:r>
    </w:p>
    <w:p>
      <w:pPr>
        <w:ind w:firstLine="643"/>
      </w:pPr>
      <w:r>
        <w:rPr>
          <w:rFonts w:hint="eastAsia"/>
          <w:b/>
          <w:bCs/>
        </w:rPr>
        <w:t>强化文物预防性保护修复</w:t>
      </w:r>
      <w:r>
        <w:rPr>
          <w:rFonts w:hint="eastAsia"/>
        </w:rPr>
        <w:t>。</w:t>
      </w:r>
      <w:r>
        <w:t>实施濒危文物抢救性修缮，优先推进永定土楼、长汀革命旧址群等重点工程。健全博物馆可移动文物预防性保护设施与管理平台，</w:t>
      </w:r>
      <w:bookmarkStart w:id="28" w:name="OLE_LINK9"/>
      <w:r>
        <w:t>依托</w:t>
      </w:r>
      <w:r>
        <w:rPr>
          <w:rFonts w:hint="eastAsia"/>
          <w:strike w:val="0"/>
          <w:dstrike w:val="0"/>
          <w:color w:val="auto"/>
          <w:lang w:val="en-US" w:eastAsia="zh-CN"/>
        </w:rPr>
        <w:t>各博物馆</w:t>
      </w:r>
      <w:r>
        <w:t>建设区域性文物修复中心，重点修复革命、纸质、客家民俗类文物</w:t>
      </w:r>
      <w:r>
        <w:rPr>
          <w:rFonts w:hint="eastAsia"/>
        </w:rPr>
        <w:t>。</w:t>
      </w:r>
    </w:p>
    <w:bookmarkEnd w:id="28"/>
    <w:tbl>
      <w:tblPr>
        <w:tblStyle w:val="2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pStyle w:val="9"/>
              <w:ind w:firstLine="0" w:firstLineChars="0"/>
              <w:jc w:val="center"/>
              <w:rPr>
                <w:rFonts w:eastAsia="宋体"/>
                <w:b/>
                <w:bCs/>
                <w:szCs w:val="32"/>
              </w:rPr>
            </w:pPr>
            <w:r>
              <w:rPr>
                <w:rFonts w:hint="eastAsia" w:cs="仿宋_GB2312"/>
                <w:b/>
                <w:bCs/>
                <w:szCs w:val="32"/>
              </w:rPr>
              <w:t>专栏  文物保护利用重点项目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ind w:firstLine="640"/>
              <w:rPr>
                <w:szCs w:val="32"/>
              </w:rPr>
            </w:pPr>
            <w:r>
              <w:rPr>
                <w:rFonts w:hint="eastAsia"/>
              </w:rPr>
              <w:t>龙岩市红色文化数字记忆建构工程、</w:t>
            </w:r>
            <w:r>
              <w:rPr>
                <w:rFonts w:hint="eastAsia"/>
                <w:color w:val="auto"/>
              </w:rPr>
              <w:t>汀州厦门大学旧址保护修缮与展示工程</w:t>
            </w:r>
            <w:r>
              <w:rPr>
                <w:rFonts w:hint="eastAsia"/>
                <w:color w:val="auto"/>
                <w:lang w:eastAsia="zh-CN"/>
              </w:rPr>
              <w:t>、</w:t>
            </w:r>
            <w:r>
              <w:rPr>
                <w:rFonts w:hint="eastAsia"/>
                <w:color w:val="auto"/>
              </w:rPr>
              <w:t>连城四堡书坊建筑</w:t>
            </w:r>
            <w:r>
              <w:rPr>
                <w:rFonts w:hint="eastAsia"/>
                <w:color w:val="auto"/>
                <w:lang w:val="en-US" w:eastAsia="zh-CN"/>
              </w:rPr>
              <w:t>保护修缮工程、</w:t>
            </w:r>
            <w:r>
              <w:rPr>
                <w:rFonts w:hint="eastAsia"/>
                <w:color w:val="auto"/>
                <w:lang w:eastAsia="zh-CN"/>
              </w:rPr>
              <w:t>漳平市海峡两岸南岛语族考古教学实习基地（奇和洞遗址博物馆）项目</w:t>
            </w:r>
            <w:r>
              <w:rPr>
                <w:rFonts w:hint="eastAsia"/>
                <w:color w:val="auto"/>
                <w:lang w:val="en-US" w:eastAsia="zh-CN"/>
              </w:rPr>
              <w:t>及各县（市、区）革命文物保护修缮展示利用项目</w:t>
            </w:r>
            <w:r>
              <w:rPr>
                <w:rFonts w:hint="eastAsia"/>
                <w:color w:val="auto"/>
              </w:rPr>
              <w:t>等。</w:t>
            </w:r>
          </w:p>
        </w:tc>
      </w:tr>
    </w:tbl>
    <w:p>
      <w:pPr>
        <w:pStyle w:val="4"/>
        <w:spacing w:before="217" w:after="217"/>
        <w:ind w:firstLine="643"/>
      </w:pPr>
      <w:bookmarkStart w:id="29" w:name="_Toc231465191"/>
      <w:r>
        <w:rPr>
          <w:rFonts w:hint="eastAsia"/>
        </w:rPr>
        <w:t>（二）健全非遗保护传承体系</w:t>
      </w:r>
      <w:bookmarkEnd w:id="26"/>
      <w:bookmarkEnd w:id="29"/>
    </w:p>
    <w:p>
      <w:pPr>
        <w:ind w:firstLine="643"/>
      </w:pPr>
      <w:r>
        <w:rPr>
          <w:rFonts w:hint="eastAsia"/>
          <w:b/>
          <w:bCs/>
        </w:rPr>
        <w:t>完善</w:t>
      </w:r>
      <w:r>
        <w:rPr>
          <w:b/>
          <w:bCs/>
        </w:rPr>
        <w:t>非遗保护传承机制</w:t>
      </w:r>
      <w:r>
        <w:rPr>
          <w:rFonts w:hint="eastAsia"/>
        </w:rPr>
        <w:t>。严格落实各项保护措施，健全国家、省、市、县四级非物质文化遗产代表性项目、传承人和传承基地名录体系。</w:t>
      </w:r>
      <w:bookmarkStart w:id="30" w:name="OLE_LINK31"/>
      <w:r>
        <w:rPr>
          <w:rFonts w:hint="eastAsia"/>
        </w:rPr>
        <w:t>完善非遗保护工作部门联席会议制度，推动形成政府主导、社会参与、市场运作的非遗保护传承新格局</w:t>
      </w:r>
      <w:bookmarkEnd w:id="30"/>
      <w:r>
        <w:rPr>
          <w:rFonts w:hint="eastAsia"/>
        </w:rPr>
        <w:t>。</w:t>
      </w:r>
    </w:p>
    <w:p>
      <w:pPr>
        <w:ind w:firstLine="643"/>
      </w:pPr>
      <w:r>
        <w:rPr>
          <w:rFonts w:hint="eastAsia"/>
          <w:b/>
          <w:bCs/>
        </w:rPr>
        <w:t>深化非遗传承活化载体建设</w:t>
      </w:r>
      <w:r>
        <w:rPr>
          <w:rFonts w:hint="eastAsia"/>
        </w:rPr>
        <w:t>。</w:t>
      </w:r>
      <w:r>
        <w:t>深化国家级客家文化（闽西）生态保护区建设，完善市县非遗展示馆、传承体验中心及中心城区非遗主题街等设施。在永定土楼、长汀古城、冠豸山等重点景区，打造非遗馆、工坊与街区，推出客家山歌、闽西汉剧、制茶技艺等沉浸式体验项目。</w:t>
      </w:r>
    </w:p>
    <w:p>
      <w:pPr>
        <w:ind w:firstLine="643"/>
      </w:pPr>
      <w:r>
        <w:rPr>
          <w:rFonts w:hint="eastAsia"/>
          <w:b/>
          <w:bCs/>
        </w:rPr>
        <w:t>打造非遗传承人队伍</w:t>
      </w:r>
      <w:r>
        <w:rPr>
          <w:rFonts w:hint="eastAsia"/>
        </w:rPr>
        <w:t>。</w:t>
      </w:r>
      <w:bookmarkStart w:id="31" w:name="OLE_LINK36"/>
      <w:r>
        <w:t>实施中青年传承人研修研习计划，</w:t>
      </w:r>
      <w:r>
        <w:rPr>
          <w:rFonts w:hint="eastAsia"/>
        </w:rPr>
        <w:t>健全代表性传承人保护机制，推行“订单式”授徒，通过“传帮带”构建可持续的代际传承体系。支持闽西职业技术学院等本地院校开设非遗相关专业，培养一批客家文化保护传承专门人才</w:t>
      </w:r>
      <w:bookmarkEnd w:id="31"/>
      <w:r>
        <w:rPr>
          <w:rFonts w:hint="eastAsia"/>
        </w:rPr>
        <w:t>。</w:t>
      </w:r>
    </w:p>
    <w:tbl>
      <w:tblPr>
        <w:tblStyle w:val="2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pStyle w:val="10"/>
              <w:ind w:firstLine="0" w:firstLineChars="0"/>
              <w:jc w:val="center"/>
              <w:rPr>
                <w:rFonts w:hint="eastAsia" w:ascii="仿宋_GB2312" w:hAnsi="仿宋_GB2312" w:eastAsia="仿宋_GB2312"/>
                <w:b/>
                <w:bCs/>
                <w:sz w:val="32"/>
                <w:szCs w:val="32"/>
              </w:rPr>
            </w:pPr>
            <w:r>
              <w:rPr>
                <w:rFonts w:hint="eastAsia" w:ascii="仿宋_GB2312" w:hAnsi="仿宋_GB2312" w:eastAsia="仿宋_GB2312" w:cs="仿宋_GB2312"/>
                <w:b/>
                <w:bCs/>
                <w:sz w:val="32"/>
                <w:szCs w:val="32"/>
              </w:rPr>
              <w:t>专栏  非物质文化遗产保护传承重点项目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ind w:firstLine="640"/>
              <w:rPr>
                <w:rFonts w:hint="eastAsia" w:ascii="仿宋_GB2312" w:hAnsi="仿宋_GB2312"/>
                <w:szCs w:val="32"/>
              </w:rPr>
            </w:pPr>
            <w:r>
              <w:rPr>
                <w:rFonts w:hint="eastAsia"/>
              </w:rPr>
              <w:t>推进非遗主题街项目提升，推进客家文化（闽西）非物质文化遗产传承体验及配套设施建设项目，实施非物质文化遗产保护传承工程，规划建设非遗街区、非遗小吃街、非遗一台戏以及非遗传统体验中心（所）等。</w:t>
            </w:r>
          </w:p>
        </w:tc>
      </w:tr>
    </w:tbl>
    <w:p>
      <w:pPr>
        <w:pStyle w:val="3"/>
        <w:spacing w:before="217" w:after="217"/>
        <w:ind w:firstLine="643"/>
      </w:pPr>
      <w:bookmarkStart w:id="32" w:name="_Toc231465192"/>
      <w:r>
        <w:rPr>
          <w:rFonts w:hint="eastAsia"/>
        </w:rPr>
        <w:t>三、加速文化产业品质升级</w:t>
      </w:r>
      <w:bookmarkEnd w:id="32"/>
    </w:p>
    <w:p>
      <w:pPr>
        <w:pStyle w:val="4"/>
        <w:spacing w:before="217" w:after="217"/>
        <w:ind w:firstLine="643"/>
      </w:pPr>
      <w:bookmarkStart w:id="33" w:name="_Toc231465193"/>
      <w:r>
        <w:rPr>
          <w:rFonts w:hint="eastAsia"/>
        </w:rPr>
        <w:t>（一）打造文化产业集聚区</w:t>
      </w:r>
      <w:bookmarkEnd w:id="33"/>
    </w:p>
    <w:p>
      <w:pPr>
        <w:ind w:firstLine="640"/>
        <w:rPr>
          <w:shd w:val="clear" w:color="auto" w:fill="FFFFFF"/>
        </w:rPr>
      </w:pPr>
      <w:bookmarkStart w:id="34" w:name="OLE_LINK40"/>
      <w:r>
        <w:rPr>
          <w:rFonts w:hint="eastAsia"/>
          <w:shd w:val="clear" w:color="auto" w:fill="FFFFFF"/>
        </w:rPr>
        <w:t>结合各县（市、区）的产业基础和发展优势，打造一批特色鲜明的文化产业集聚园区</w:t>
      </w:r>
      <w:r>
        <w:rPr>
          <w:rFonts w:hint="eastAsia"/>
          <w:szCs w:val="30"/>
        </w:rPr>
        <w:t>，</w:t>
      </w:r>
      <w:r>
        <w:rPr>
          <w:rFonts w:hint="eastAsia"/>
          <w:shd w:val="clear" w:color="auto" w:fill="FFFFFF"/>
        </w:rPr>
        <w:t>推动园区从物理空间集聚向功能聚合、生态构建转变。鼓励利用旧厂房、旧街区、旧村落等存量空间资源，改造建设新型文化创意街区和文化消费场景。</w:t>
      </w:r>
      <w:bookmarkEnd w:id="34"/>
    </w:p>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jc w:val="center"/>
              <w:rPr>
                <w:b/>
                <w:bCs/>
              </w:rPr>
            </w:pPr>
            <w:bookmarkStart w:id="35" w:name="OLE_LINK41"/>
            <w:r>
              <w:rPr>
                <w:rFonts w:hint="eastAsia"/>
                <w:b/>
                <w:bCs/>
              </w:rPr>
              <w:t>专栏  文化产业园区提质升级工程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pPr>
            <w:r>
              <w:rPr>
                <w:b/>
                <w:bCs/>
              </w:rPr>
              <w:t>龙岩洞文化创意产业园</w:t>
            </w:r>
            <w:r>
              <w:rPr>
                <w:rFonts w:hint="eastAsia"/>
                <w:b/>
                <w:bCs/>
              </w:rPr>
              <w:t>。</w:t>
            </w:r>
            <w:r>
              <w:rPr>
                <w:rFonts w:hint="eastAsia"/>
              </w:rPr>
              <w:t>深化龙岩文化源头IP价值，强化孵化功能，吸引文创设计、数字媒体企业集聚。推动龙岩洞遗址保护展示与文创园、公园联动，打造集文化寻根、工业遗存体验、非遗创新于一体的城市文化会客厅</w:t>
            </w:r>
            <w:r>
              <w:rPr>
                <w:rFonts w:hint="eastAsia" w:hAnsi="仿宋_GB2312" w:cs="仿宋_GB2312"/>
                <w:szCs w:val="32"/>
              </w:rPr>
              <w:t>。</w:t>
            </w:r>
          </w:p>
          <w:p>
            <w:pPr>
              <w:ind w:firstLine="643"/>
            </w:pPr>
            <w:r>
              <w:rPr>
                <w:b/>
                <w:bCs/>
                <w:szCs w:val="30"/>
              </w:rPr>
              <w:t>武平</w:t>
            </w:r>
            <w:r>
              <w:rPr>
                <w:rFonts w:hint="eastAsia"/>
                <w:b/>
                <w:bCs/>
                <w:szCs w:val="30"/>
              </w:rPr>
              <w:t>百家大院</w:t>
            </w:r>
            <w:r>
              <w:rPr>
                <w:b/>
                <w:bCs/>
                <w:szCs w:val="30"/>
              </w:rPr>
              <w:t>文化创意产业园</w:t>
            </w:r>
            <w:r>
              <w:rPr>
                <w:rFonts w:hint="eastAsia"/>
                <w:b/>
                <w:bCs/>
                <w:szCs w:val="30"/>
              </w:rPr>
              <w:t>。</w:t>
            </w:r>
            <w:r>
              <w:rPr>
                <w:rFonts w:hint="eastAsia"/>
                <w:szCs w:val="30"/>
              </w:rPr>
              <w:t>以明清古建筑群为核心，联动千鹭湖、梁野山景区。综合发展文化休闲、影视拍摄、客家美食、古物鉴赏、姓氏探寻等多种业态，提升高端文旅消费、夜间消费水平。</w:t>
            </w:r>
          </w:p>
        </w:tc>
      </w:tr>
      <w:bookmarkEnd w:id="35"/>
    </w:tbl>
    <w:p>
      <w:pPr>
        <w:pStyle w:val="4"/>
        <w:spacing w:before="217" w:after="217"/>
        <w:ind w:firstLine="643"/>
      </w:pPr>
      <w:bookmarkStart w:id="36" w:name="_Toc231465194"/>
      <w:r>
        <w:rPr>
          <w:rFonts w:hint="eastAsia"/>
        </w:rPr>
        <w:t>（二）提升重点产业发展水平</w:t>
      </w:r>
      <w:bookmarkEnd w:id="36"/>
    </w:p>
    <w:p>
      <w:pPr>
        <w:ind w:firstLine="640"/>
        <w:rPr>
          <w:rFonts w:hint="eastAsia"/>
        </w:rPr>
      </w:pPr>
      <w:bookmarkStart w:id="37" w:name="OLE_LINK92"/>
      <w:r>
        <w:rPr>
          <w:rFonts w:ascii="Segoe UI" w:hAnsi="Segoe UI" w:cs="Segoe UI"/>
          <w:color w:val="0F1115"/>
          <w:shd w:val="clear" w:color="auto" w:fill="FFFFFF"/>
        </w:rPr>
        <w:t>顺应数字经济发展趋势与文旅融合要求，立足龙岩特色文化资源优势，</w:t>
      </w:r>
      <w:r>
        <w:rPr>
          <w:rStyle w:val="20"/>
          <w:rFonts w:ascii="Segoe UI" w:hAnsi="Segoe UI" w:cs="Segoe UI"/>
          <w:b w:val="0"/>
          <w:bCs w:val="0"/>
          <w:color w:val="0F1115"/>
          <w:shd w:val="clear" w:color="auto" w:fill="FFFFFF"/>
        </w:rPr>
        <w:t>加快培育新型文化业态，推动传统工艺与现代创意深度融合</w:t>
      </w:r>
      <w:r>
        <w:rPr>
          <w:rFonts w:ascii="Segoe UI" w:hAnsi="Segoe UI" w:cs="Segoe UI"/>
          <w:color w:val="0F1115"/>
          <w:shd w:val="clear" w:color="auto" w:fill="FFFFFF"/>
        </w:rPr>
        <w:t>，</w:t>
      </w:r>
      <w:r>
        <w:rPr>
          <w:rFonts w:hint="eastAsia" w:ascii="Segoe UI" w:hAnsi="Segoe UI" w:cs="Segoe UI"/>
          <w:color w:val="0F1115"/>
          <w:shd w:val="clear" w:color="auto" w:fill="FFFFFF"/>
        </w:rPr>
        <w:t>做大做强数字文化产业、工艺美术品业以及文化创意产业。</w:t>
      </w:r>
    </w:p>
    <w:bookmarkEnd w:id="37"/>
    <w:tbl>
      <w:tblPr>
        <w:tblStyle w:val="4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jc w:val="center"/>
              <w:rPr>
                <w:b/>
                <w:bCs/>
              </w:rPr>
            </w:pPr>
            <w:r>
              <w:rPr>
                <w:rFonts w:hint="eastAsia"/>
                <w:b/>
                <w:bCs/>
              </w:rPr>
              <w:t>专栏  重点产业提升工程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rPr>
                <w:shd w:val="clear" w:color="auto" w:fill="FFFFFF"/>
              </w:rPr>
            </w:pPr>
            <w:bookmarkStart w:id="38" w:name="OLE_LINK91"/>
            <w:r>
              <w:rPr>
                <w:rFonts w:hint="eastAsia"/>
                <w:b/>
                <w:bCs/>
                <w:shd w:val="clear" w:color="auto" w:fill="FFFFFF"/>
              </w:rPr>
              <w:t>数字文化产业</w:t>
            </w:r>
            <w:r>
              <w:rPr>
                <w:rFonts w:hint="eastAsia"/>
                <w:shd w:val="clear" w:color="auto" w:fill="FFFFFF"/>
              </w:rPr>
              <w:t>。</w:t>
            </w:r>
            <w:bookmarkStart w:id="39" w:name="OLE_LINK42"/>
            <w:r>
              <w:rPr>
                <w:rFonts w:hint="eastAsia"/>
                <w:color w:val="000000" w:themeColor="text1"/>
                <w:shd w:val="clear" w:color="auto" w:fill="FFFFFF"/>
                <w14:textFill>
                  <w14:solidFill>
                    <w14:schemeClr w14:val="tx1"/>
                  </w14:solidFill>
                </w14:textFill>
              </w:rPr>
              <w:t>推动文化产业“上云用数赋智”，发展数字文旅、数字创意、视频直播、虚拟展示、数字文博等新业态。支持数字技术企业、文化机构合作开发红色VR体验、客家文化数字博物馆、</w:t>
            </w:r>
            <w:r>
              <w:rPr>
                <w:rFonts w:hint="default" w:ascii="Times New Roman" w:hAnsi="Times New Roman" w:eastAsia="仿宋_GB2312" w:cs="Times New Roman"/>
                <w:b w:val="0"/>
                <w:bCs w:val="0"/>
                <w:color w:val="000000" w:themeColor="text1"/>
                <w:sz w:val="31"/>
                <w:szCs w:val="31"/>
                <w:lang w:eastAsia="zh-CN"/>
                <w14:textFill>
                  <w14:solidFill>
                    <w14:schemeClr w14:val="tx1"/>
                  </w14:solidFill>
                </w14:textFill>
              </w:rPr>
              <w:t>上杭艇临江楼国防教育基地军事主题数字体验</w:t>
            </w:r>
            <w:r>
              <w:rPr>
                <w:rFonts w:hint="eastAsia" w:cs="Times New Roman"/>
                <w:b w:val="0"/>
                <w:bCs w:val="0"/>
                <w:color w:val="000000" w:themeColor="text1"/>
                <w:sz w:val="31"/>
                <w:szCs w:val="31"/>
                <w:lang w:eastAsia="zh-CN"/>
                <w14:textFill>
                  <w14:solidFill>
                    <w14:schemeClr w14:val="tx1"/>
                  </w14:solidFill>
                </w14:textFill>
              </w:rPr>
              <w:t>、</w:t>
            </w:r>
            <w:r>
              <w:rPr>
                <w:rFonts w:hint="eastAsia"/>
                <w:color w:val="000000" w:themeColor="text1"/>
                <w:shd w:val="clear" w:color="auto" w:fill="FFFFFF"/>
                <w14:textFill>
                  <w14:solidFill>
                    <w14:schemeClr w14:val="tx1"/>
                  </w14:solidFill>
                </w14:textFill>
              </w:rPr>
              <w:t>非遗数字化保护等项目，打造沉浸式、互动式文化消费体验。</w:t>
            </w:r>
            <w:bookmarkEnd w:id="39"/>
          </w:p>
          <w:p>
            <w:pPr>
              <w:ind w:firstLine="643"/>
              <w:rPr>
                <w:shd w:val="clear" w:color="auto" w:fill="FFFFFF"/>
              </w:rPr>
            </w:pPr>
            <w:r>
              <w:rPr>
                <w:rFonts w:hint="eastAsia"/>
                <w:b/>
                <w:bCs/>
                <w:shd w:val="clear" w:color="auto" w:fill="FFFFFF"/>
              </w:rPr>
              <w:t>工艺美术品业</w:t>
            </w:r>
            <w:r>
              <w:rPr>
                <w:rFonts w:hint="eastAsia"/>
                <w:shd w:val="clear" w:color="auto" w:fill="FFFFFF"/>
              </w:rPr>
              <w:t>。</w:t>
            </w:r>
            <w:bookmarkStart w:id="40" w:name="OLE_LINK43"/>
            <w:r>
              <w:rPr>
                <w:rFonts w:hint="eastAsia"/>
                <w:shd w:val="clear" w:color="auto" w:fill="FFFFFF"/>
              </w:rPr>
              <w:t>培育发展汀州木石</w:t>
            </w:r>
            <w:r>
              <w:rPr>
                <w:rFonts w:hint="eastAsia"/>
                <w:color w:val="000000" w:themeColor="text1"/>
                <w:shd w:val="clear" w:color="auto" w:fill="FFFFFF"/>
                <w14:textFill>
                  <w14:solidFill>
                    <w14:schemeClr w14:val="tx1"/>
                  </w14:solidFill>
                </w14:textFill>
              </w:rPr>
              <w:t>雕刻与古建修缮、客家土楼文创衍生品、永定藤铁工艺品、上杭金铜雕、</w:t>
            </w:r>
            <w:r>
              <w:rPr>
                <w:rFonts w:hint="eastAsia" w:ascii="Times New Roman" w:hAnsi="Times New Roman" w:eastAsia="仿宋_GB2312" w:cs="Times New Roman"/>
                <w:b w:val="0"/>
                <w:bCs w:val="0"/>
                <w:color w:val="000000" w:themeColor="text1"/>
                <w:sz w:val="31"/>
                <w:szCs w:val="31"/>
                <w:lang w:eastAsia="zh-CN"/>
                <w14:textFill>
                  <w14:solidFill>
                    <w14:schemeClr w14:val="tx1"/>
                  </w14:solidFill>
                </w14:textFill>
              </w:rPr>
              <w:t>上杭锡雕（省级老字号）</w:t>
            </w:r>
            <w:r>
              <w:rPr>
                <w:rFonts w:hint="eastAsia" w:cs="Times New Roman"/>
                <w:b w:val="0"/>
                <w:bCs w:val="0"/>
                <w:color w:val="000000" w:themeColor="text1"/>
                <w:sz w:val="31"/>
                <w:szCs w:val="31"/>
                <w:lang w:eastAsia="zh-CN"/>
                <w14:textFill>
                  <w14:solidFill>
                    <w14:schemeClr w14:val="tx1"/>
                  </w14:solidFill>
                </w14:textFill>
              </w:rPr>
              <w:t>、</w:t>
            </w:r>
            <w:r>
              <w:rPr>
                <w:rFonts w:hint="eastAsia"/>
                <w:color w:val="000000" w:themeColor="text1"/>
                <w:shd w:val="clear" w:color="auto" w:fill="FFFFFF"/>
                <w14:textFill>
                  <w14:solidFill>
                    <w14:schemeClr w14:val="tx1"/>
                  </w14:solidFill>
                </w14:textFill>
              </w:rPr>
              <w:t>连城宣纸及竹工艺品、漳平农民画等特色产业集群。推动“非遗+工艺美术”融合发展，开发高端定制产品和体验式消费项目</w:t>
            </w:r>
            <w:bookmarkEnd w:id="40"/>
            <w:r>
              <w:rPr>
                <w:rFonts w:hint="eastAsia"/>
                <w:color w:val="000000" w:themeColor="text1"/>
                <w:shd w:val="clear" w:color="auto" w:fill="FFFFFF"/>
                <w14:textFill>
                  <w14:solidFill>
                    <w14:schemeClr w14:val="tx1"/>
                  </w14:solidFill>
                </w14:textFill>
              </w:rPr>
              <w:t>。</w:t>
            </w:r>
          </w:p>
          <w:p>
            <w:pPr>
              <w:ind w:firstLine="643"/>
            </w:pPr>
            <w:r>
              <w:rPr>
                <w:rFonts w:hint="eastAsia"/>
                <w:b/>
                <w:bCs/>
                <w:shd w:val="clear" w:color="auto" w:fill="FFFFFF"/>
              </w:rPr>
              <w:t>文化创意产业</w:t>
            </w:r>
            <w:r>
              <w:rPr>
                <w:rFonts w:hint="eastAsia"/>
                <w:shd w:val="clear" w:color="auto" w:fill="FFFFFF"/>
              </w:rPr>
              <w:t>。</w:t>
            </w:r>
            <w:bookmarkStart w:id="41" w:name="OLE_LINK44"/>
            <w:r>
              <w:rPr>
                <w:rFonts w:hint="eastAsia"/>
                <w:shd w:val="clear" w:color="auto" w:fill="FFFFFF"/>
              </w:rPr>
              <w:t>支持设计机构、文创企业开发具有龙岩特色的城市IP、文旅标识、包装设计和乡村文创项目，提升产品文化内涵和审美价值。鼓励建设文创孵化基地、众创空间，吸引青年设计师、文创团队落户，推动“龙岩文创”走出去。</w:t>
            </w:r>
            <w:bookmarkEnd w:id="38"/>
            <w:bookmarkEnd w:id="41"/>
          </w:p>
        </w:tc>
      </w:tr>
    </w:tbl>
    <w:p>
      <w:pPr>
        <w:pStyle w:val="3"/>
        <w:spacing w:before="217" w:after="217"/>
        <w:ind w:firstLine="643"/>
      </w:pPr>
      <w:bookmarkStart w:id="42" w:name="_Toc231465195"/>
      <w:bookmarkStart w:id="43" w:name="_Toc209645889"/>
      <w:r>
        <w:rPr>
          <w:rFonts w:hint="eastAsia"/>
        </w:rPr>
        <w:t>四、健全文旅公共服务体系</w:t>
      </w:r>
      <w:bookmarkEnd w:id="42"/>
      <w:bookmarkEnd w:id="43"/>
    </w:p>
    <w:p>
      <w:pPr>
        <w:pStyle w:val="4"/>
        <w:spacing w:before="217" w:after="217"/>
        <w:ind w:firstLine="643"/>
      </w:pPr>
      <w:bookmarkStart w:id="44" w:name="_Toc209645890"/>
      <w:bookmarkStart w:id="45" w:name="_Toc231465196"/>
      <w:r>
        <w:rPr>
          <w:rFonts w:hint="eastAsia"/>
        </w:rPr>
        <w:t>（一）</w:t>
      </w:r>
      <w:bookmarkStart w:id="46" w:name="OLE_LINK46"/>
      <w:r>
        <w:rPr>
          <w:rFonts w:hint="eastAsia"/>
        </w:rPr>
        <w:t>加强</w:t>
      </w:r>
      <w:r>
        <w:t>公共服务设施</w:t>
      </w:r>
      <w:bookmarkEnd w:id="44"/>
      <w:r>
        <w:rPr>
          <w:rFonts w:hint="eastAsia"/>
        </w:rPr>
        <w:t>建设</w:t>
      </w:r>
      <w:bookmarkEnd w:id="45"/>
      <w:bookmarkEnd w:id="46"/>
    </w:p>
    <w:p>
      <w:pPr>
        <w:ind w:firstLine="640"/>
        <w:rPr>
          <w:shd w:val="clear" w:color="auto" w:fill="FFFFFF"/>
        </w:rPr>
      </w:pPr>
      <w:bookmarkStart w:id="47" w:name="OLE_LINK47"/>
      <w:bookmarkStart w:id="48" w:name="_Toc209645891"/>
      <w:r>
        <w:t>系统规划市、县、乡、村四级公共文化服务设施网络，</w:t>
      </w:r>
      <w:r>
        <w:rPr>
          <w:rFonts w:hint="eastAsia"/>
          <w:shd w:val="clear" w:color="auto" w:fill="FFFFFF"/>
        </w:rPr>
        <w:t>加快推进漳平市文化艺术中心等项目建设，提升市县级图书馆、文化馆标准化水平</w:t>
      </w:r>
      <w:bookmarkEnd w:id="47"/>
      <w:r>
        <w:rPr>
          <w:rFonts w:hint="eastAsia"/>
          <w:shd w:val="clear" w:color="auto" w:fill="FFFFFF"/>
        </w:rPr>
        <w:t>。持续推进</w:t>
      </w:r>
      <w:r>
        <w:rPr>
          <w:shd w:val="clear" w:color="auto" w:fill="FFFFFF"/>
        </w:rPr>
        <w:t>乡村文化会客厅</w:t>
      </w:r>
      <w:r>
        <w:rPr>
          <w:rFonts w:hint="eastAsia"/>
          <w:shd w:val="clear" w:color="auto" w:fill="FFFFFF"/>
        </w:rPr>
        <w:t>建设，依托图书馆、文化馆总分馆体系，打造一批“小而美”的公共文化新空间。</w:t>
      </w:r>
      <w:r>
        <w:t>加快构建 “外部快捷、内部顺畅、配套完善” 的旅游交通网络，完善旅游公路体系。</w:t>
      </w:r>
    </w:p>
    <w:tbl>
      <w:tblPr>
        <w:tblStyle w:val="2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296" w:type="dxa"/>
          </w:tcPr>
          <w:p>
            <w:pPr>
              <w:pStyle w:val="9"/>
              <w:ind w:firstLine="0" w:firstLineChars="0"/>
              <w:jc w:val="center"/>
              <w:rPr>
                <w:rFonts w:eastAsia="宋体"/>
                <w:b/>
                <w:bCs/>
                <w:szCs w:val="32"/>
              </w:rPr>
            </w:pPr>
            <w:r>
              <w:rPr>
                <w:rFonts w:hint="eastAsia" w:cs="仿宋_GB2312"/>
                <w:b/>
                <w:bCs/>
                <w:szCs w:val="32"/>
              </w:rPr>
              <w:t>专栏  文旅公共服务设施重点项目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6" w:type="dxa"/>
          </w:tcPr>
          <w:p>
            <w:pPr>
              <w:ind w:firstLine="640"/>
              <w:rPr>
                <w:szCs w:val="32"/>
              </w:rPr>
            </w:pPr>
            <w:r>
              <w:rPr>
                <w:rFonts w:hint="eastAsia"/>
                <w:shd w:val="clear" w:color="auto" w:fill="FFFFFF"/>
              </w:rPr>
              <w:t>漳平市文化艺术中心项目、永定区“两馆一宫”基础设施建设项目、</w:t>
            </w:r>
            <w:r>
              <w:rPr>
                <w:rFonts w:hint="eastAsia"/>
              </w:rPr>
              <w:t>武平县公共文体活动中心项目、</w:t>
            </w:r>
            <w:r>
              <w:rPr>
                <w:rFonts w:hint="eastAsia"/>
                <w:shd w:val="clear" w:color="auto" w:fill="FFFFFF"/>
              </w:rPr>
              <w:t>永定区洪坑高北土楼大景区旅游基础设施提升项目、永定土楼高速服务区交旅融合项目、永定龙湖生态文明示范区基础设施建设项目、长汀县历史文化名城旅游客接驳系统工程、长汀县数字文化设施提升改造项目、长汀县A级景区对外联接通道改造提升工程、上杭县城区游客服务中心项目、古田历史文化名镇保护提升项目、连城</w:t>
            </w:r>
            <w:r>
              <w:rPr>
                <w:shd w:val="clear" w:color="auto" w:fill="FFFFFF"/>
              </w:rPr>
              <w:t>“一馆带N屋”公共文化服务体系</w:t>
            </w:r>
            <w:r>
              <w:rPr>
                <w:rFonts w:hint="eastAsia"/>
                <w:shd w:val="clear" w:color="auto" w:fill="FFFFFF"/>
              </w:rPr>
              <w:t>项目等。</w:t>
            </w:r>
          </w:p>
        </w:tc>
      </w:tr>
    </w:tbl>
    <w:p>
      <w:pPr>
        <w:pStyle w:val="4"/>
        <w:spacing w:before="217" w:after="217"/>
        <w:ind w:firstLine="643"/>
      </w:pPr>
      <w:bookmarkStart w:id="49" w:name="_Toc231465197"/>
      <w:r>
        <w:rPr>
          <w:rFonts w:hint="eastAsia"/>
        </w:rPr>
        <w:t>（二）深入实施文化惠民工程</w:t>
      </w:r>
      <w:bookmarkEnd w:id="49"/>
    </w:p>
    <w:p>
      <w:pPr>
        <w:ind w:firstLine="640"/>
        <w:rPr>
          <w:shd w:val="clear" w:color="auto" w:fill="FFFFFF"/>
        </w:rPr>
      </w:pPr>
      <w:bookmarkStart w:id="50" w:name="OLE_LINK50"/>
      <w:r>
        <w:rPr>
          <w:rFonts w:hint="eastAsia"/>
          <w:shd w:val="clear" w:color="auto" w:fill="FFFFFF"/>
        </w:rPr>
        <w:t>健全优质文化资源直达基层机制，完善县（市、区）的公共文化产品供给机制</w:t>
      </w:r>
      <w:bookmarkEnd w:id="50"/>
      <w:r>
        <w:rPr>
          <w:rFonts w:hint="eastAsia"/>
          <w:shd w:val="clear" w:color="auto" w:fill="FFFFFF"/>
        </w:rPr>
        <w:t>，精准对接群众需求。加强文化活动走进乡村文化会客厅，持续深化“百姓大舞台”“龙岩大家唱”等文化惠民品牌活动，打造群众家门口的文化盛宴。整合城乡公共文化设施资源，推动公共文化场馆与学校、企业、社区、单位等场所的合作共建。常态化开展经典诵读、读书会、线上阅读、专题讲座等系列主题活动。</w:t>
      </w:r>
    </w:p>
    <w:bookmarkEnd w:id="48"/>
    <w:p>
      <w:pPr>
        <w:pStyle w:val="3"/>
        <w:spacing w:before="217" w:after="217"/>
        <w:ind w:firstLine="643"/>
      </w:pPr>
      <w:bookmarkStart w:id="51" w:name="_Toc231465198"/>
      <w:r>
        <w:rPr>
          <w:rFonts w:hint="eastAsia"/>
        </w:rPr>
        <w:t>五、推进旅游业高质量发展</w:t>
      </w:r>
      <w:bookmarkEnd w:id="51"/>
    </w:p>
    <w:p>
      <w:pPr>
        <w:pStyle w:val="4"/>
        <w:spacing w:before="217" w:after="217"/>
        <w:ind w:firstLine="643"/>
      </w:pPr>
      <w:bookmarkStart w:id="52" w:name="_Toc231465199"/>
      <w:r>
        <w:rPr>
          <w:rFonts w:hint="eastAsia"/>
        </w:rPr>
        <w:t>（一）深化红色旅游品质建设</w:t>
      </w:r>
      <w:bookmarkEnd w:id="52"/>
    </w:p>
    <w:p>
      <w:pPr>
        <w:ind w:firstLine="640"/>
      </w:pPr>
      <w:bookmarkStart w:id="53" w:name="_Hlk231463691"/>
      <w:r>
        <w:rPr>
          <w:rFonts w:hint="eastAsia"/>
        </w:rPr>
        <w:t>系统梳理龙岩红色文化谱系，强化红色文化价值挖掘与品牌塑造，推动红色景区从静态展陈向沉浸式体验升级、从单点参观向综合消费转型、从红色教育向“红绿古今”多元融合拓展，构建内容丰富、体验优质的红色旅游发展体系。</w:t>
      </w:r>
    </w:p>
    <w:bookmarkEnd w:id="53"/>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0" w:firstLineChars="0"/>
              <w:jc w:val="center"/>
            </w:pPr>
            <w:r>
              <w:rPr>
                <w:rFonts w:hint="eastAsia"/>
                <w:b/>
                <w:bCs/>
              </w:rPr>
              <w:t>专栏  红色旅游品质提升工程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pPr>
            <w:r>
              <w:rPr>
                <w:rFonts w:hint="eastAsia"/>
                <w:b/>
                <w:bCs/>
              </w:rPr>
              <w:t>创新提升红色文化品牌</w:t>
            </w:r>
            <w:r>
              <w:rPr>
                <w:rFonts w:hint="eastAsia"/>
              </w:rPr>
              <w:t>。</w:t>
            </w:r>
            <w:r>
              <w:rPr>
                <w:rFonts w:hint="default" w:ascii="Times New Roman" w:hAnsi="Times New Roman" w:eastAsia="仿宋_GB2312" w:cs="Times New Roman"/>
                <w:b w:val="0"/>
                <w:bCs w:val="0"/>
                <w:color w:val="000000" w:themeColor="text1"/>
                <w:sz w:val="31"/>
                <w:szCs w:val="31"/>
                <w:lang w:eastAsia="zh-CN"/>
                <w14:textFill>
                  <w14:solidFill>
                    <w14:schemeClr w14:val="tx1"/>
                  </w14:solidFill>
                </w14:textFill>
              </w:rPr>
              <w:t>以古田会议</w:t>
            </w:r>
            <w:r>
              <w:rPr>
                <w:rFonts w:hint="default" w:ascii="Times New Roman" w:hAnsi="Times New Roman" w:eastAsia="仿宋_GB2312" w:cs="Times New Roman"/>
                <w:b w:val="0"/>
                <w:bCs w:val="0"/>
                <w:color w:val="000000" w:themeColor="text1"/>
                <w:sz w:val="31"/>
                <w:szCs w:val="31"/>
                <w:lang w:val="en-US" w:eastAsia="zh-CN"/>
                <w14:textFill>
                  <w14:solidFill>
                    <w14:schemeClr w14:val="tx1"/>
                  </w14:solidFill>
                </w14:textFill>
              </w:rPr>
              <w:t>100周年为契机</w:t>
            </w:r>
            <w:r>
              <w:rPr>
                <w:rFonts w:hint="eastAsia" w:cs="Times New Roman"/>
                <w:b w:val="0"/>
                <w:bCs w:val="0"/>
                <w:color w:val="000000" w:themeColor="text1"/>
                <w:sz w:val="31"/>
                <w:szCs w:val="31"/>
                <w:lang w:val="en-US" w:eastAsia="zh-CN"/>
                <w14:textFill>
                  <w14:solidFill>
                    <w14:schemeClr w14:val="tx1"/>
                  </w14:solidFill>
                </w14:textFill>
              </w:rPr>
              <w:t>，</w:t>
            </w:r>
            <w:r>
              <w:rPr>
                <w:rFonts w:hint="eastAsia"/>
              </w:rPr>
              <w:t>系统挖掘“红色圣地”精神内涵，持续提升“胜利之城”品牌影响力，重点打造具有全国辨识度的红色标识。</w:t>
            </w:r>
            <w:r>
              <w:t>加快建设长征国家文化公园（龙岩段）及 “红</w:t>
            </w:r>
            <w:r>
              <w:rPr>
                <w:color w:val="000000" w:themeColor="text1"/>
                <w14:textFill>
                  <w14:solidFill>
                    <w14:schemeClr w14:val="tx1"/>
                  </w14:solidFill>
                </w14:textFill>
              </w:rPr>
              <w:t>旗</w:t>
            </w:r>
            <w:r>
              <w:rPr>
                <w:rFonts w:hint="eastAsia"/>
                <w:color w:val="000000" w:themeColor="text1"/>
                <w:lang w:eastAsia="zh-CN"/>
                <w14:textFill>
                  <w14:solidFill>
                    <w14:schemeClr w14:val="tx1"/>
                  </w14:solidFill>
                </w14:textFill>
              </w:rPr>
              <w:t>跃</w:t>
            </w:r>
            <w:r>
              <w:t>过汀江” 革命文物主题游径，整合古田、新泉、才溪、长征出发地、中央红色交通线等核心资源，构建闽西红色文化旅游带。</w:t>
            </w:r>
          </w:p>
          <w:p>
            <w:pPr>
              <w:ind w:firstLine="643"/>
            </w:pPr>
            <w:r>
              <w:rPr>
                <w:rFonts w:hint="eastAsia"/>
                <w:b/>
                <w:bCs/>
              </w:rPr>
              <w:t>开发红色旅游精品演艺</w:t>
            </w:r>
            <w:r>
              <w:rPr>
                <w:rFonts w:hint="eastAsia"/>
              </w:rPr>
              <w:t>。深入挖掘古田会议等龙岩红色文化故事内涵，融合龙岩客家音乐、舞蹈、戏剧、非遗元素以及现代艺术形式，通过创新红色叙事方式，利用灯光音响技术、全息投影等现代技术，打造沉浸式红色旅游演艺系列剧目，形成</w:t>
            </w:r>
            <w:r>
              <w:rPr>
                <w:rFonts w:hint="eastAsia"/>
                <w:color w:val="auto"/>
                <w:lang w:eastAsia="zh-CN"/>
              </w:rPr>
              <w:t>较大型</w:t>
            </w:r>
            <w:r>
              <w:rPr>
                <w:rFonts w:hint="eastAsia"/>
                <w:color w:val="auto"/>
              </w:rPr>
              <w:t>标</w:t>
            </w:r>
            <w:r>
              <w:rPr>
                <w:rFonts w:hint="eastAsia"/>
              </w:rPr>
              <w:t>杆性项目与小成本、主题型项目的演艺产品组合进行展演。</w:t>
            </w:r>
          </w:p>
          <w:p>
            <w:pPr>
              <w:ind w:firstLine="643"/>
            </w:pPr>
            <w:r>
              <w:rPr>
                <w:rFonts w:hint="eastAsia"/>
                <w:b/>
                <w:bCs/>
              </w:rPr>
              <w:t>推动红色旅游融合发展</w:t>
            </w:r>
            <w:r>
              <w:rPr>
                <w:rFonts w:hint="eastAsia"/>
              </w:rPr>
              <w:t>。</w:t>
            </w:r>
            <w:r>
              <w:rPr>
                <w:rFonts w:ascii="Segoe UI" w:hAnsi="Segoe UI" w:cs="Segoe UI"/>
                <w:color w:val="0F1115"/>
                <w:shd w:val="clear" w:color="auto" w:fill="FFFFFF"/>
              </w:rPr>
              <w:t>构建</w:t>
            </w:r>
            <w:r>
              <w:rPr>
                <w:rFonts w:hint="eastAsia" w:ascii="Segoe UI" w:hAnsi="Segoe UI" w:cs="Segoe UI"/>
                <w:color w:val="0F1115"/>
                <w:shd w:val="clear" w:color="auto" w:fill="FFFFFF"/>
              </w:rPr>
              <w:t>“</w:t>
            </w:r>
            <w:r>
              <w:rPr>
                <w:rFonts w:ascii="Segoe UI" w:hAnsi="Segoe UI" w:cs="Segoe UI"/>
                <w:color w:val="0F1115"/>
                <w:shd w:val="clear" w:color="auto" w:fill="FFFFFF"/>
              </w:rPr>
              <w:t>红色+</w:t>
            </w:r>
            <w:r>
              <w:rPr>
                <w:rFonts w:hint="eastAsia" w:ascii="Segoe UI" w:hAnsi="Segoe UI" w:cs="Segoe UI"/>
                <w:color w:val="0F1115"/>
                <w:shd w:val="clear" w:color="auto" w:fill="FFFFFF"/>
              </w:rPr>
              <w:t>”</w:t>
            </w:r>
            <w:r>
              <w:rPr>
                <w:rFonts w:ascii="Segoe UI" w:hAnsi="Segoe UI" w:cs="Segoe UI"/>
                <w:color w:val="0F1115"/>
                <w:shd w:val="clear" w:color="auto" w:fill="FFFFFF"/>
              </w:rPr>
              <w:t>旅游融合发展体系。依托长汀中复村、永定西陂村、上杭吴地社区等，结合乡村生态与农业场景，开发红色主题农庄及观光体验项目</w:t>
            </w:r>
            <w:r>
              <w:rPr>
                <w:rFonts w:hint="eastAsia" w:ascii="Segoe UI" w:hAnsi="Segoe UI" w:cs="Segoe UI"/>
                <w:color w:val="0F1115"/>
                <w:shd w:val="clear" w:color="auto" w:fill="FFFFFF"/>
              </w:rPr>
              <w:t>，发展红色乡村旅游</w:t>
            </w:r>
            <w:r>
              <w:rPr>
                <w:rFonts w:ascii="Segoe UI" w:hAnsi="Segoe UI" w:cs="Segoe UI"/>
                <w:color w:val="0F1115"/>
                <w:shd w:val="clear" w:color="auto" w:fill="FFFFFF"/>
              </w:rPr>
              <w:t>；发挥全国党员教育培训示范基地带动作用，壮大以古田为中心的红色研学产业，整合市县研学营地资源，</w:t>
            </w:r>
            <w:r>
              <w:rPr>
                <w:rFonts w:hint="eastAsia" w:ascii="Segoe UI" w:hAnsi="Segoe UI" w:cs="Segoe UI"/>
                <w:color w:val="0F1115"/>
                <w:shd w:val="clear" w:color="auto" w:fill="FFFFFF"/>
              </w:rPr>
              <w:t>发展红色研学旅游</w:t>
            </w:r>
            <w:r>
              <w:rPr>
                <w:rFonts w:ascii="Segoe UI" w:hAnsi="Segoe UI" w:cs="Segoe UI"/>
                <w:color w:val="0F1115"/>
                <w:shd w:val="clear" w:color="auto" w:fill="FFFFFF"/>
              </w:rPr>
              <w:t>；借势</w:t>
            </w:r>
            <w:r>
              <w:rPr>
                <w:rFonts w:hint="eastAsia" w:ascii="Segoe UI" w:hAnsi="Segoe UI" w:cs="Segoe UI"/>
                <w:color w:val="0F1115"/>
                <w:shd w:val="clear" w:color="auto" w:fill="FFFFFF"/>
              </w:rPr>
              <w:t>“</w:t>
            </w:r>
            <w:r>
              <w:rPr>
                <w:rFonts w:ascii="Segoe UI" w:hAnsi="Segoe UI" w:cs="Segoe UI"/>
                <w:color w:val="0F1115"/>
                <w:shd w:val="clear" w:color="auto" w:fill="FFFFFF"/>
              </w:rPr>
              <w:t>冠军摇篮</w:t>
            </w:r>
            <w:r>
              <w:rPr>
                <w:rFonts w:hint="eastAsia" w:ascii="Segoe UI" w:hAnsi="Segoe UI" w:cs="Segoe UI"/>
                <w:color w:val="0F1115"/>
                <w:shd w:val="clear" w:color="auto" w:fill="FFFFFF"/>
              </w:rPr>
              <w:t>”</w:t>
            </w:r>
            <w:r>
              <w:rPr>
                <w:rFonts w:ascii="Segoe UI" w:hAnsi="Segoe UI" w:cs="Segoe UI"/>
                <w:color w:val="0F1115"/>
                <w:shd w:val="clear" w:color="auto" w:fill="FFFFFF"/>
              </w:rPr>
              <w:t>城市品牌，做强上杭</w:t>
            </w:r>
            <w:r>
              <w:rPr>
                <w:rFonts w:hint="eastAsia" w:ascii="Segoe UI" w:hAnsi="Segoe UI" w:cs="Segoe UI"/>
                <w:color w:val="0F1115"/>
                <w:shd w:val="clear" w:color="auto" w:fill="FFFFFF"/>
              </w:rPr>
              <w:t>“</w:t>
            </w:r>
            <w:r>
              <w:rPr>
                <w:rFonts w:ascii="Segoe UI" w:hAnsi="Segoe UI" w:cs="Segoe UI"/>
                <w:color w:val="0F1115"/>
                <w:shd w:val="clear" w:color="auto" w:fill="FFFFFF"/>
              </w:rPr>
              <w:t>红古田</w:t>
            </w:r>
            <w:r>
              <w:rPr>
                <w:rFonts w:hint="eastAsia" w:ascii="Segoe UI" w:hAnsi="Segoe UI" w:cs="Segoe UI"/>
                <w:color w:val="0F1115"/>
                <w:shd w:val="clear" w:color="auto" w:fill="FFFFFF"/>
              </w:rPr>
              <w:t>”</w:t>
            </w:r>
            <w:r>
              <w:rPr>
                <w:rFonts w:ascii="Segoe UI" w:hAnsi="Segoe UI" w:cs="Segoe UI"/>
                <w:color w:val="0F1115"/>
                <w:shd w:val="clear" w:color="auto" w:fill="FFFFFF"/>
              </w:rPr>
              <w:t>马拉松等赛事品牌，</w:t>
            </w:r>
            <w:r>
              <w:rPr>
                <w:rFonts w:hint="eastAsia" w:ascii="Segoe UI" w:hAnsi="Segoe UI" w:cs="Segoe UI"/>
                <w:color w:val="0F1115"/>
                <w:shd w:val="clear" w:color="auto" w:fill="FFFFFF"/>
              </w:rPr>
              <w:t>发展</w:t>
            </w:r>
            <w:r>
              <w:rPr>
                <w:rFonts w:ascii="Segoe UI" w:hAnsi="Segoe UI" w:cs="Segoe UI"/>
                <w:color w:val="0F1115"/>
                <w:shd w:val="clear" w:color="auto" w:fill="FFFFFF"/>
              </w:rPr>
              <w:t>红色体育旅游。</w:t>
            </w:r>
          </w:p>
        </w:tc>
      </w:tr>
    </w:tbl>
    <w:p>
      <w:pPr>
        <w:pStyle w:val="4"/>
        <w:spacing w:before="217" w:after="217"/>
        <w:ind w:firstLine="643"/>
      </w:pPr>
      <w:bookmarkStart w:id="54" w:name="_Toc231465200"/>
      <w:r>
        <w:rPr>
          <w:rFonts w:hint="eastAsia"/>
        </w:rPr>
        <w:t>（二）突出客家旅游特色发展</w:t>
      </w:r>
      <w:bookmarkEnd w:id="54"/>
    </w:p>
    <w:p>
      <w:pPr>
        <w:ind w:firstLine="640"/>
      </w:pPr>
      <w:bookmarkStart w:id="55" w:name="_Hlk231463708"/>
      <w:r>
        <w:rPr>
          <w:rFonts w:hint="eastAsia"/>
        </w:rPr>
        <w:t>立足“世遗土楼”核心品牌和客家文化原生优势，系统提升土楼世遗地景观价值与服务品质，完善客家文化品牌矩阵，推动客家旅游与其他业态深度融合，打造世遗土楼、客家文化、深度体验三位一体的客家特色旅游综合体。</w:t>
      </w:r>
      <w:bookmarkEnd w:id="55"/>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0" w:firstLineChars="0"/>
              <w:jc w:val="center"/>
            </w:pPr>
            <w:r>
              <w:rPr>
                <w:rFonts w:hint="eastAsia"/>
                <w:b/>
                <w:bCs/>
              </w:rPr>
              <w:t>专栏  客家旅游特色发展工程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pPr>
            <w:r>
              <w:rPr>
                <w:rFonts w:hint="eastAsia"/>
                <w:b/>
                <w:bCs/>
              </w:rPr>
              <w:t>实施世遗土楼文旅提升工程</w:t>
            </w:r>
            <w:r>
              <w:rPr>
                <w:rFonts w:hint="eastAsia"/>
              </w:rPr>
              <w:t>。常态化推出《红旗不倒</w:t>
            </w:r>
            <w:r>
              <w:t xml:space="preserve"> </w:t>
            </w:r>
            <w:r>
              <w:rPr>
                <w:rFonts w:hint="eastAsia"/>
              </w:rPr>
              <w:t>江山永定》等精品演艺项目，嵌入客家打新婚等非遗民俗，打造“土楼风情”沉浸式演艺I</w:t>
            </w:r>
            <w:r>
              <w:t>P</w:t>
            </w:r>
            <w:r>
              <w:rPr>
                <w:rFonts w:hint="eastAsia"/>
              </w:rPr>
              <w:t>。</w:t>
            </w:r>
            <w:r>
              <w:t>推进土楼</w:t>
            </w:r>
            <w:r>
              <w:rPr>
                <w:rFonts w:hint="eastAsia"/>
                <w:lang w:eastAsia="zh-CN"/>
              </w:rPr>
              <w:t>文旅</w:t>
            </w:r>
            <w:r>
              <w:t>演艺</w:t>
            </w:r>
            <w:r>
              <w:rPr>
                <w:rFonts w:hint="eastAsia"/>
                <w:lang w:eastAsia="zh-CN"/>
              </w:rPr>
              <w:t>项目</w:t>
            </w:r>
            <w:r>
              <w:t>落地，</w:t>
            </w:r>
            <w:r>
              <w:rPr>
                <w:rFonts w:hint="eastAsia"/>
                <w:lang w:eastAsia="zh-CN"/>
              </w:rPr>
              <w:t>优化提升</w:t>
            </w:r>
            <w:r>
              <w:rPr>
                <w:rFonts w:hint="eastAsia"/>
              </w:rPr>
              <w:t>“天涯明月刀”</w:t>
            </w:r>
            <w:r>
              <w:t>沉浸式剧场，丰富</w:t>
            </w:r>
            <w:r>
              <w:rPr>
                <w:rFonts w:hint="eastAsia"/>
              </w:rPr>
              <w:t>夜间文旅产品供给。健全土楼旅游住宿配套，引进具有国际水准的精品高端民宿，对非文保土楼民居进行精品化和特色化提升。</w:t>
            </w:r>
          </w:p>
          <w:p>
            <w:pPr>
              <w:ind w:firstLine="643"/>
            </w:pPr>
            <w:r>
              <w:rPr>
                <w:rFonts w:hint="eastAsia"/>
                <w:b/>
                <w:bCs/>
              </w:rPr>
              <w:t>完善客家文化品牌体系</w:t>
            </w:r>
            <w:r>
              <w:rPr>
                <w:rFonts w:hint="eastAsia"/>
              </w:rPr>
              <w:t>。优化客家文化品牌活动，</w:t>
            </w:r>
            <w:r>
              <w:t>提升世界客属公祭客家母亲河大典、世界客属龙舟文化旅游节等活动的国际影响力</w:t>
            </w:r>
            <w:r>
              <w:rPr>
                <w:rFonts w:hint="eastAsia"/>
              </w:rPr>
              <w:t>。</w:t>
            </w:r>
            <w:r>
              <w:t>引入市场化运营机制，吸引社会资本参与活动策划与执行，实现客家文化品牌活动的可持续发展。创新传播方式，运用新媒体与数字技术，推广“土楼过大年”“重走客家迁徙路”等活动</w:t>
            </w:r>
            <w:r>
              <w:rPr>
                <w:rFonts w:hint="eastAsia"/>
              </w:rPr>
              <w:t>。</w:t>
            </w:r>
          </w:p>
        </w:tc>
      </w:tr>
    </w:tbl>
    <w:p>
      <w:pPr>
        <w:pStyle w:val="4"/>
        <w:spacing w:before="217" w:after="217"/>
        <w:ind w:firstLine="643"/>
      </w:pPr>
      <w:bookmarkStart w:id="56" w:name="_Toc231465201"/>
      <w:r>
        <w:rPr>
          <w:rFonts w:hint="eastAsia"/>
        </w:rPr>
        <w:t>（三）推动乡村旅游跨越发展</w:t>
      </w:r>
      <w:bookmarkEnd w:id="56"/>
    </w:p>
    <w:p>
      <w:pPr>
        <w:ind w:firstLine="640"/>
      </w:pPr>
      <w:bookmarkStart w:id="57" w:name="_Hlk231463723"/>
      <w:r>
        <w:rPr>
          <w:rFonts w:hint="eastAsia"/>
        </w:rPr>
        <w:t>甄别本地周末游客群和异地客群的不同需求，完善乡村旅游空间布局，丰富乡村旅游业态，提升乡村旅游接待能力，构建一二三产融合发展的产业体系，培育龙岩市乡村旅游内生动力机制。</w:t>
      </w:r>
      <w:bookmarkEnd w:id="57"/>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0" w:firstLineChars="0"/>
              <w:jc w:val="center"/>
            </w:pPr>
            <w:r>
              <w:rPr>
                <w:rFonts w:hint="eastAsia"/>
                <w:b/>
                <w:bCs/>
              </w:rPr>
              <w:t>专栏  乡村旅游跨越式发展工程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pPr>
            <w:r>
              <w:rPr>
                <w:rFonts w:hint="eastAsia"/>
                <w:b/>
                <w:bCs/>
              </w:rPr>
              <w:t>丰富乡村旅游业态</w:t>
            </w:r>
            <w:r>
              <w:rPr>
                <w:rFonts w:hint="eastAsia"/>
              </w:rPr>
              <w:t>。重点围绕</w:t>
            </w:r>
            <w:r>
              <w:rPr>
                <w:rFonts w:hint="eastAsia" w:cs="宋体"/>
                <w:kern w:val="0"/>
                <w:szCs w:val="32"/>
              </w:rPr>
              <w:t>连城塘前村、上杭</w:t>
            </w:r>
            <w:r>
              <w:rPr>
                <w:rFonts w:hint="eastAsia"/>
              </w:rPr>
              <w:t>吴地社区</w:t>
            </w:r>
            <w:r>
              <w:rPr>
                <w:rFonts w:hint="eastAsia"/>
                <w:color w:val="auto"/>
              </w:rPr>
              <w:t>、</w:t>
            </w:r>
            <w:r>
              <w:rPr>
                <w:rFonts w:hint="eastAsia" w:ascii="Times New Roman" w:hAnsi="Times New Roman" w:eastAsia="仿宋_GB2312" w:cs="Times New Roman"/>
                <w:b w:val="0"/>
                <w:bCs w:val="0"/>
                <w:color w:val="auto"/>
                <w:sz w:val="32"/>
                <w:szCs w:val="32"/>
                <w:lang w:val="en-US" w:eastAsia="zh-CN"/>
              </w:rPr>
              <w:t>上杭旧县铁东村</w:t>
            </w:r>
            <w:r>
              <w:rPr>
                <w:rFonts w:hint="eastAsia" w:cs="Times New Roman"/>
                <w:b w:val="0"/>
                <w:bCs w:val="0"/>
                <w:color w:val="auto"/>
                <w:sz w:val="32"/>
                <w:szCs w:val="32"/>
                <w:lang w:val="en-US" w:eastAsia="zh-CN"/>
              </w:rPr>
              <w:t>、</w:t>
            </w:r>
            <w:r>
              <w:rPr>
                <w:rFonts w:hint="eastAsia"/>
                <w:color w:val="auto"/>
              </w:rPr>
              <w:t>武</w:t>
            </w:r>
            <w:r>
              <w:rPr>
                <w:rFonts w:hint="eastAsia"/>
              </w:rPr>
              <w:t>平云寨村等，打造森林观光、溶洞观光、湖泊湿地观光、农旅观光等生态观光旅游产品。</w:t>
            </w:r>
            <w:r>
              <w:rPr>
                <w:rFonts w:hint="eastAsia"/>
                <w:szCs w:val="30"/>
              </w:rPr>
              <w:t>支持长汀中复村、</w:t>
            </w:r>
            <w:r>
              <w:rPr>
                <w:rFonts w:hint="eastAsia" w:cs="Arial"/>
                <w:szCs w:val="30"/>
                <w:shd w:val="clear" w:color="auto" w:fill="FFFFFF"/>
              </w:rPr>
              <w:t>漳平东湖村等</w:t>
            </w:r>
            <w:r>
              <w:rPr>
                <w:rFonts w:hint="eastAsia" w:ascii="Arial" w:hAnsi="Arial" w:cs="Arial"/>
                <w:szCs w:val="30"/>
                <w:shd w:val="clear" w:color="auto" w:fill="FFFFFF"/>
              </w:rPr>
              <w:t>美丽休闲乡村进一步发展休闲农业，升级发展农业观光园、高端民宿、田园综合体等新型业态，构建农业体验旅游产品体系。</w:t>
            </w:r>
          </w:p>
          <w:p>
            <w:pPr>
              <w:ind w:firstLine="643"/>
            </w:pPr>
            <w:r>
              <w:rPr>
                <w:rFonts w:hint="eastAsia"/>
                <w:b/>
                <w:bCs/>
              </w:rPr>
              <w:t>提升乡村旅游接待能力</w:t>
            </w:r>
            <w:r>
              <w:rPr>
                <w:rFonts w:hint="eastAsia"/>
              </w:rPr>
              <w:t>。</w:t>
            </w:r>
            <w:r>
              <w:rPr>
                <w:rFonts w:hint="eastAsia"/>
                <w:szCs w:val="28"/>
              </w:rPr>
              <w:t>重点打造新罗江山镇洋北民宿集群、永定“十里南溪土楼”衍香集宿、</w:t>
            </w:r>
            <w:r>
              <w:rPr>
                <w:rFonts w:hint="eastAsia"/>
                <w:color w:val="000000" w:themeColor="text1"/>
                <w14:textFill>
                  <w14:solidFill>
                    <w14:schemeClr w14:val="tx1"/>
                  </w14:solidFill>
                </w14:textFill>
              </w:rPr>
              <w:t>漳平“大陆阿里山”民宿群</w:t>
            </w:r>
            <w:r>
              <w:rPr>
                <w:rFonts w:hint="eastAsia"/>
                <w:szCs w:val="28"/>
              </w:rPr>
              <w:t>。探索建设村落特色主题民宿，形成“民宿+自然美景”“民宿+客家美食”“民宿+客家文化”等不同主题。围绕龙岩市品牌村落，</w:t>
            </w:r>
            <w:bookmarkStart w:id="58" w:name="OLE_LINK66"/>
            <w:r>
              <w:rPr>
                <w:rFonts w:hint="eastAsia"/>
                <w:szCs w:val="28"/>
              </w:rPr>
              <w:t>因地制宜建设多元化乡村露营基地</w:t>
            </w:r>
            <w:bookmarkEnd w:id="58"/>
            <w:r>
              <w:rPr>
                <w:rFonts w:hint="eastAsia"/>
                <w:szCs w:val="28"/>
              </w:rPr>
              <w:t>。</w:t>
            </w:r>
          </w:p>
        </w:tc>
      </w:tr>
    </w:tbl>
    <w:p>
      <w:pPr>
        <w:pStyle w:val="4"/>
        <w:spacing w:before="217" w:after="217"/>
        <w:ind w:firstLine="643"/>
      </w:pPr>
      <w:bookmarkStart w:id="59" w:name="_Toc231465202"/>
      <w:r>
        <w:rPr>
          <w:rFonts w:hint="eastAsia"/>
        </w:rPr>
        <w:t>（四）创新文旅融合新业态</w:t>
      </w:r>
      <w:bookmarkEnd w:id="59"/>
    </w:p>
    <w:p>
      <w:pPr>
        <w:ind w:firstLine="643"/>
        <w:rPr>
          <w:b/>
          <w:bCs/>
        </w:rPr>
      </w:pPr>
      <w:r>
        <w:rPr>
          <w:rFonts w:hint="eastAsia"/>
          <w:b/>
          <w:bCs/>
        </w:rPr>
        <w:t>发展文旅康养。</w:t>
      </w:r>
      <w:bookmarkStart w:id="60" w:name="OLE_LINK67"/>
      <w:r>
        <w:rPr>
          <w:rFonts w:hint="eastAsia"/>
        </w:rPr>
        <w:t>重点打造环梅花山文旅康养度假区，加强康养业态和模式创新，完善森林康养、温泉康养、旅居康养、运动康养、中医药康养、膳食康养等不同类型的康养产品设计开发，构建特色鲜明、层次分明、品种丰富的康养服务供给体系。</w:t>
      </w:r>
      <w:bookmarkEnd w:id="60"/>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96" w:type="dxa"/>
          </w:tcPr>
          <w:p>
            <w:pPr>
              <w:ind w:firstLine="0" w:firstLineChars="0"/>
              <w:jc w:val="center"/>
            </w:pPr>
            <w:bookmarkStart w:id="61" w:name="OLE_LINK68"/>
            <w:r>
              <w:rPr>
                <w:rFonts w:hint="eastAsia"/>
                <w:b/>
                <w:bCs/>
              </w:rPr>
              <w:t>专栏  文旅康养融合创新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pPr>
            <w:bookmarkStart w:id="62" w:name="OLE_LINK11"/>
            <w:r>
              <w:rPr>
                <w:rFonts w:hint="eastAsia"/>
                <w:b/>
                <w:bCs/>
                <w:szCs w:val="32"/>
              </w:rPr>
              <w:t>建设高品质森林康养基地</w:t>
            </w:r>
            <w:bookmarkEnd w:id="62"/>
            <w:r>
              <w:rPr>
                <w:b/>
                <w:bCs/>
                <w:szCs w:val="32"/>
              </w:rPr>
              <w:t>。</w:t>
            </w:r>
            <w:r>
              <w:rPr>
                <w:rFonts w:hint="eastAsia"/>
                <w:szCs w:val="32"/>
              </w:rPr>
              <w:t>立足</w:t>
            </w:r>
            <w:r>
              <w:rPr>
                <w:rFonts w:hint="eastAsia"/>
              </w:rPr>
              <w:t>梅花山、长汀通宝、武平县白水寨瀑居等省级森林</w:t>
            </w:r>
            <w:r>
              <w:rPr>
                <w:rFonts w:hint="eastAsia"/>
                <w:szCs w:val="32"/>
              </w:rPr>
              <w:t>康养基地及</w:t>
            </w:r>
            <w:r>
              <w:rPr>
                <w:rFonts w:hint="eastAsia"/>
              </w:rPr>
              <w:t>武平县城厢镇等森林康养小镇</w:t>
            </w:r>
            <w:r>
              <w:rPr>
                <w:rFonts w:hint="eastAsia"/>
                <w:szCs w:val="32"/>
              </w:rPr>
              <w:t>，完善交通设施、安全保障、停车场、垃圾污水收集处理等配套设施建设，增强森林康养基地的吸引力和旅游承接能力。</w:t>
            </w:r>
          </w:p>
          <w:p>
            <w:pPr>
              <w:ind w:firstLine="643"/>
              <w:rPr>
                <w:szCs w:val="32"/>
              </w:rPr>
            </w:pPr>
            <w:r>
              <w:rPr>
                <w:rFonts w:hint="eastAsia"/>
                <w:b/>
                <w:bCs/>
                <w:szCs w:val="32"/>
              </w:rPr>
              <w:t>推动温泉康养基地提档升级</w:t>
            </w:r>
            <w:r>
              <w:rPr>
                <w:rFonts w:hint="eastAsia"/>
                <w:szCs w:val="32"/>
              </w:rPr>
              <w:t>。依托连城清水天一温泉、永定天子温泉、新罗浮蔡和铁山温泉、</w:t>
            </w:r>
            <w:r>
              <w:rPr>
                <w:rFonts w:hint="eastAsia"/>
              </w:rPr>
              <w:t>漳平菁和源温泉</w:t>
            </w:r>
            <w:r>
              <w:rPr>
                <w:rFonts w:hint="eastAsia"/>
                <w:lang w:eastAsia="zh-CN"/>
              </w:rPr>
              <w:t>、</w:t>
            </w:r>
            <w:r>
              <w:rPr>
                <w:rFonts w:hint="default" w:ascii="Times New Roman" w:hAnsi="Times New Roman" w:eastAsia="仿宋_GB2312" w:cs="Times New Roman"/>
                <w:b w:val="0"/>
                <w:bCs w:val="0"/>
                <w:color w:val="auto"/>
                <w:sz w:val="31"/>
                <w:szCs w:val="31"/>
                <w:lang w:eastAsia="zh-CN"/>
              </w:rPr>
              <w:t>上杭溪口温泉</w:t>
            </w:r>
            <w:r>
              <w:rPr>
                <w:rFonts w:hint="eastAsia"/>
                <w:color w:val="auto"/>
                <w:szCs w:val="32"/>
              </w:rPr>
              <w:t>等开</w:t>
            </w:r>
            <w:r>
              <w:rPr>
                <w:rFonts w:hint="eastAsia"/>
                <w:szCs w:val="32"/>
              </w:rPr>
              <w:t>发较好的温泉康养基地，创新温泉休闲产品，发展多样化、综合化、艺术化的泡浴模式，提升温泉康养沉浸式体验感受。</w:t>
            </w:r>
          </w:p>
          <w:p>
            <w:pPr>
              <w:ind w:firstLine="643"/>
            </w:pPr>
            <w:r>
              <w:rPr>
                <w:rFonts w:hint="eastAsia"/>
                <w:b/>
                <w:bCs/>
                <w:szCs w:val="32"/>
              </w:rPr>
              <w:t>做强旅居康养基地。</w:t>
            </w:r>
            <w:r>
              <w:rPr>
                <w:rFonts w:hint="eastAsia"/>
                <w:szCs w:val="32"/>
              </w:rPr>
              <w:t>支持上杭金秋公寓</w:t>
            </w:r>
            <w:r>
              <w:rPr>
                <w:rFonts w:hint="eastAsia" w:ascii="仿宋_GB2312" w:hAnsi="仿宋_GB2312" w:cs="仿宋_GB2312"/>
                <w:szCs w:val="32"/>
              </w:rPr>
              <w:t>、连城莲嘉首府、</w:t>
            </w:r>
            <w:r>
              <w:rPr>
                <w:rFonts w:hint="eastAsia"/>
              </w:rPr>
              <w:t>永福台缘山庄、武平云上人家等</w:t>
            </w:r>
            <w:r>
              <w:rPr>
                <w:rFonts w:hint="eastAsia"/>
                <w:szCs w:val="32"/>
              </w:rPr>
              <w:t>打造旅居康养品牌。建设酒店服务式、美丽乡村式创新康养旅居项目，满足银发群体多元化、多层次的康养旅居生活需求。</w:t>
            </w:r>
          </w:p>
        </w:tc>
      </w:tr>
      <w:bookmarkEnd w:id="61"/>
    </w:tbl>
    <w:p>
      <w:pPr>
        <w:ind w:firstLine="643"/>
        <w:rPr>
          <w:rFonts w:ascii="仿宋_GB2312"/>
        </w:rPr>
      </w:pPr>
      <w:r>
        <w:rPr>
          <w:rFonts w:hint="eastAsia"/>
          <w:b/>
          <w:bCs/>
        </w:rPr>
        <w:t>发展体育旅游</w:t>
      </w:r>
      <w:r>
        <w:rPr>
          <w:rFonts w:hint="eastAsia"/>
        </w:rPr>
        <w:t>。</w:t>
      </w:r>
      <w:bookmarkStart w:id="63" w:name="OLE_LINK69"/>
      <w:r>
        <w:rPr>
          <w:rFonts w:ascii="Segoe UI" w:hAnsi="Segoe UI" w:cs="Segoe UI"/>
          <w:spacing w:val="-2"/>
          <w:shd w:val="clear" w:color="auto" w:fill="FFFFFF"/>
        </w:rPr>
        <w:t>重点</w:t>
      </w:r>
      <w:r>
        <w:rPr>
          <w:rFonts w:hint="eastAsia" w:ascii="仿宋_GB2312" w:hAnsi="Segoe UI" w:cs="Segoe UI"/>
          <w:spacing w:val="-2"/>
          <w:shd w:val="clear" w:color="auto" w:fill="FFFFFF"/>
        </w:rPr>
        <w:t>培育连城棒球小镇、永定土楼马拉松、上杭羽毛球赛、武平骑行等县域特色IP，加强开发水上运动、山地户外等专业化体验产品，同步健全绿道、营地等基础设施网络，构建一体化</w:t>
      </w:r>
      <w:r>
        <w:rPr>
          <w:rFonts w:hint="eastAsia" w:ascii="仿宋_GB2312" w:hAnsi="Segoe UI" w:cs="Segoe UI"/>
          <w:color w:val="auto"/>
          <w:spacing w:val="-2"/>
          <w:shd w:val="clear" w:color="auto" w:fill="FFFFFF"/>
        </w:rPr>
        <w:t>智慧体旅服务平台。深化“体育+文旅+康养”融合，打造跨区域精品旅游线路</w:t>
      </w:r>
      <w:r>
        <w:rPr>
          <w:rFonts w:hint="eastAsia" w:ascii="仿宋_GB2312" w:hAnsi="仿宋_GB2312" w:eastAsia="仿宋_GB2312" w:cs="仿宋_GB2312"/>
          <w:b w:val="0"/>
          <w:bCs w:val="0"/>
          <w:color w:val="auto"/>
          <w:sz w:val="31"/>
          <w:szCs w:val="31"/>
          <w:lang w:eastAsia="zh-CN"/>
        </w:rPr>
        <w:t>及县（区）域高质量户外运动目的地</w:t>
      </w:r>
      <w:r>
        <w:rPr>
          <w:rFonts w:hint="eastAsia" w:ascii="仿宋_GB2312" w:hAnsi="Segoe UI" w:cs="Segoe UI"/>
          <w:color w:val="auto"/>
          <w:spacing w:val="-2"/>
          <w:shd w:val="clear" w:color="auto" w:fill="FFFFFF"/>
        </w:rPr>
        <w:t>，提升龙岩体育旅游的吸引力和产业竞争力</w:t>
      </w:r>
      <w:bookmarkEnd w:id="63"/>
      <w:r>
        <w:rPr>
          <w:rFonts w:hint="eastAsia" w:ascii="仿宋_GB2312" w:hAnsi="Segoe UI" w:cs="Segoe UI"/>
          <w:color w:val="auto"/>
          <w:spacing w:val="-2"/>
          <w:shd w:val="clear" w:color="auto" w:fill="FFFFFF"/>
        </w:rPr>
        <w:t>。</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0" w:firstLineChars="0"/>
              <w:jc w:val="center"/>
            </w:pPr>
            <w:r>
              <w:rPr>
                <w:rFonts w:hint="eastAsia"/>
                <w:b/>
                <w:bCs/>
              </w:rPr>
              <w:t>专栏  体育旅游提升工程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pPr>
            <w:bookmarkStart w:id="64" w:name="OLE_LINK70"/>
            <w:r>
              <w:rPr>
                <w:rFonts w:hint="eastAsia"/>
                <w:b/>
                <w:bCs/>
              </w:rPr>
              <w:t>提升品牌赛事质量。</w:t>
            </w:r>
            <w:r>
              <w:t>支持连城环冠豸山马拉松、永定土楼马拉松、武平自行车联赛、漳平龙</w:t>
            </w:r>
            <w:r>
              <w:rPr>
                <w:rFonts w:hint="eastAsia"/>
              </w:rPr>
              <w:t>狮</w:t>
            </w:r>
            <w:r>
              <w:t>赛等赛事提升等级、规范运营、塑造品牌。推行</w:t>
            </w:r>
            <w:r>
              <w:rPr>
                <w:rFonts w:hint="eastAsia"/>
              </w:rPr>
              <w:t>“</w:t>
            </w:r>
            <w:r>
              <w:t>赛事+</w:t>
            </w:r>
            <w:r>
              <w:rPr>
                <w:rFonts w:hint="eastAsia"/>
              </w:rPr>
              <w:t>”</w:t>
            </w:r>
            <w:r>
              <w:t>模式，</w:t>
            </w:r>
            <w:r>
              <w:rPr>
                <w:rFonts w:hint="eastAsia"/>
              </w:rPr>
              <w:t>推动</w:t>
            </w:r>
            <w:r>
              <w:t>重大赛事期间同步举办旅游推介、文化展演、特色商品集市等活动，延长游客停留时间。</w:t>
            </w:r>
          </w:p>
          <w:p>
            <w:pPr>
              <w:ind w:firstLine="643"/>
            </w:pPr>
            <w:r>
              <w:rPr>
                <w:b/>
                <w:bCs/>
              </w:rPr>
              <w:t>构建差异化产品体系</w:t>
            </w:r>
            <w:r>
              <w:rPr>
                <w:rFonts w:hint="eastAsia"/>
                <w:b/>
                <w:bCs/>
              </w:rPr>
              <w:t>。</w:t>
            </w:r>
            <w:r>
              <w:t>依托永定龙湖、上杭汀江、武平梁野山等资源，重点开发水上运动（垂钓、皮划艇）、山地户外（攀岩、徒步、越野、速降）等专业化、体验式户外运动产品。支持新罗紫金山冰雪营地、长汀苏区体育公园等项目建设，引入攀岩、滑翔伞、冰雪运动等新兴业态，填补产品空白。</w:t>
            </w:r>
          </w:p>
          <w:p>
            <w:pPr>
              <w:ind w:firstLine="643"/>
            </w:pPr>
            <w:r>
              <w:rPr>
                <w:b/>
                <w:bCs/>
              </w:rPr>
              <w:t>完善基础设施网络</w:t>
            </w:r>
            <w:r>
              <w:rPr>
                <w:rFonts w:hint="eastAsia"/>
                <w:b/>
                <w:bCs/>
              </w:rPr>
              <w:t>。</w:t>
            </w:r>
            <w:r>
              <w:t>加快实施永定环土楼绿道、武平骑行道、上杭汀江绿道提升等项目。在体育设施集聚区、赛事举办地周边规划建设或改造提升一批停车位、充电桩、旅游厕所、淋浴间等配套服务设施。</w:t>
            </w:r>
            <w:bookmarkStart w:id="65" w:name="OLE_LINK5"/>
            <w:r>
              <w:rPr>
                <w:rFonts w:hint="eastAsia"/>
                <w:color w:val="auto"/>
              </w:rPr>
              <w:t>推广</w:t>
            </w:r>
            <w:r>
              <w:rPr>
                <w:color w:val="auto"/>
              </w:rPr>
              <w:t>漳平学校场馆开放等经验，盘活现有公共体育设施资源。</w:t>
            </w:r>
            <w:bookmarkEnd w:id="65"/>
          </w:p>
          <w:p>
            <w:pPr>
              <w:ind w:firstLine="643"/>
            </w:pPr>
            <w:r>
              <w:rPr>
                <w:b/>
                <w:bCs/>
              </w:rPr>
              <w:t>打造智慧体旅服务系统</w:t>
            </w:r>
            <w:r>
              <w:rPr>
                <w:rFonts w:hint="eastAsia"/>
                <w:b/>
                <w:bCs/>
              </w:rPr>
              <w:t>。</w:t>
            </w:r>
            <w:r>
              <w:t>开发市级“智慧体旅”小程序，整合场馆预订、赛事报名、线路导航、体能监测、AR导览等功能。在长汀智慧体育公园等项目基础上，推动智能健身设施、客流监测系统在主要体旅场所的覆盖应用。</w:t>
            </w:r>
          </w:p>
          <w:p>
            <w:pPr>
              <w:ind w:firstLine="643"/>
            </w:pPr>
            <w:r>
              <w:rPr>
                <w:b/>
                <w:bCs/>
              </w:rPr>
              <w:t>创新投融资与运营机制</w:t>
            </w:r>
            <w:r>
              <w:rPr>
                <w:rFonts w:hint="eastAsia"/>
                <w:b/>
                <w:bCs/>
              </w:rPr>
              <w:t>。</w:t>
            </w:r>
            <w:r>
              <w:rPr>
                <w:rFonts w:hint="eastAsia"/>
              </w:rPr>
              <w:t>激发银企合作活力，支持社会资本参与体旅项目开发运营</w:t>
            </w:r>
            <w:r>
              <w:t>。鼓励民营企业参与永定房车营地、新罗天宫山生态项目等体旅设施的建设和运营。支持本地体育社团、俱乐部承接政府委托的赛事组织、场地运营、培训服务等业务。</w:t>
            </w:r>
            <w:bookmarkEnd w:id="64"/>
          </w:p>
        </w:tc>
      </w:tr>
    </w:tbl>
    <w:p>
      <w:pPr>
        <w:ind w:firstLine="643"/>
        <w:rPr>
          <w:lang w:val="zh-CN" w:eastAsia="zh-TW"/>
        </w:rPr>
      </w:pPr>
      <w:r>
        <w:rPr>
          <w:rFonts w:hint="eastAsia"/>
          <w:b/>
          <w:bCs/>
        </w:rPr>
        <w:t>强化交旅融合</w:t>
      </w:r>
      <w:r>
        <w:rPr>
          <w:rFonts w:hint="eastAsia"/>
        </w:rPr>
        <w:t>。</w:t>
      </w:r>
      <w:bookmarkStart w:id="66" w:name="OLE_LINK71"/>
      <w:r>
        <w:rPr>
          <w:rFonts w:hint="eastAsia"/>
        </w:rPr>
        <w:t>重点推进环梅花山旅游公路环线特色旅游风景道和水上红色交通线建设。支持永定区按照“一线六站”格局规划建设洪坑—高北土楼轨道交通和配套服务设施，开行世遗土楼小火车观光游览线路。支持永定龙湖开发、汀江、九龙江水上旅游开发等项目建设，有序发展内河游轮旅游，打造汀江水上航线风景道和“夜游汀江”品牌</w:t>
      </w:r>
      <w:bookmarkEnd w:id="66"/>
      <w:r>
        <w:rPr>
          <w:rFonts w:hint="eastAsia"/>
        </w:rPr>
        <w:t>。</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96" w:type="dxa"/>
          </w:tcPr>
          <w:p>
            <w:pPr>
              <w:ind w:firstLine="643"/>
              <w:jc w:val="center"/>
              <w:rPr>
                <w:b/>
                <w:bCs/>
              </w:rPr>
            </w:pPr>
            <w:r>
              <w:rPr>
                <w:rFonts w:hint="eastAsia"/>
                <w:b/>
                <w:bCs/>
              </w:rPr>
              <w:t>专栏  交旅融合重点建设工程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pPr>
            <w:bookmarkStart w:id="67" w:name="OLE_LINK72"/>
            <w:r>
              <w:rPr>
                <w:rFonts w:hint="eastAsia"/>
                <w:b/>
                <w:bCs/>
              </w:rPr>
              <w:t>特色旅游风景道体系。</w:t>
            </w:r>
            <w:r>
              <w:rPr>
                <w:rFonts w:hint="eastAsia"/>
              </w:rPr>
              <w:t>重点建设“中央红色交通线”主题旅游公路。改造G319国道龙岩段为客家文化主题公路，在服务区设置两岸客家非遗展示馆、宗亲联络站，打造“海峡客家文化走廊”。持续推进环土楼风景道和福建武夷山国家森林风景道（龙岩段）项目建设，形成主题鲜明、功能完善的旅游公路网络。</w:t>
            </w:r>
          </w:p>
          <w:p>
            <w:pPr>
              <w:ind w:firstLine="643"/>
            </w:pPr>
            <w:r>
              <w:rPr>
                <w:rFonts w:hint="eastAsia"/>
                <w:b/>
                <w:bCs/>
              </w:rPr>
              <w:t>龙岩水上红色交通线。</w:t>
            </w:r>
            <w:r>
              <w:rPr>
                <w:rFonts w:hint="eastAsia"/>
              </w:rPr>
              <w:t>重点推进龙岩水上红色交通线项目前期工作，按照分段实施的原则，通过提升航道等级、建设通航设施、新建码头设施，恢复汀江航道（永定龙湖—长汀古城段）通航能力，发展内河游轮旅游，形成水陆联动的旅游交通格局。</w:t>
            </w:r>
            <w:bookmarkEnd w:id="67"/>
          </w:p>
        </w:tc>
      </w:tr>
    </w:tbl>
    <w:p>
      <w:pPr>
        <w:ind w:firstLine="643"/>
      </w:pPr>
      <w:r>
        <w:rPr>
          <w:rFonts w:hint="eastAsia"/>
          <w:b/>
          <w:bCs/>
        </w:rPr>
        <w:t>培育工业旅游</w:t>
      </w:r>
      <w:r>
        <w:rPr>
          <w:rFonts w:hint="eastAsia"/>
        </w:rPr>
        <w:t>。</w:t>
      </w:r>
      <w:bookmarkStart w:id="68" w:name="OLE_LINK74"/>
      <w:r>
        <w:rPr>
          <w:rFonts w:hint="eastAsia"/>
          <w:lang w:val="zh-CN"/>
        </w:rPr>
        <w:t>加强龙岩工业遗产保护利用，培育一批工业博物馆、工业研学科普中心。聚焦龙岩现有工业旅游资源，</w:t>
      </w:r>
      <w:bookmarkStart w:id="69" w:name="OLE_LINK76"/>
      <w:r>
        <w:rPr>
          <w:rFonts w:hint="eastAsia"/>
          <w:lang w:val="zh-CN"/>
        </w:rPr>
        <w:t>依托</w:t>
      </w:r>
      <w:r>
        <w:rPr>
          <w:shd w:val="clear" w:color="auto" w:fill="FFFFFF"/>
        </w:rPr>
        <w:t>紫金山国家矿山公园、福建省煤矿遗址公园等</w:t>
      </w:r>
      <w:r>
        <w:rPr>
          <w:rFonts w:hint="eastAsia"/>
          <w:shd w:val="clear" w:color="auto" w:fill="FFFFFF"/>
        </w:rPr>
        <w:t>基地和项目</w:t>
      </w:r>
      <w:bookmarkEnd w:id="69"/>
      <w:r>
        <w:rPr>
          <w:shd w:val="clear" w:color="auto" w:fill="FFFFFF"/>
        </w:rPr>
        <w:t>，</w:t>
      </w:r>
      <w:r>
        <w:rPr>
          <w:rFonts w:hint="eastAsia"/>
          <w:shd w:val="clear" w:color="auto" w:fill="FFFFFF"/>
        </w:rPr>
        <w:t>彰显</w:t>
      </w:r>
      <w:r>
        <w:rPr>
          <w:shd w:val="clear" w:color="auto" w:fill="FFFFFF"/>
        </w:rPr>
        <w:t>金色矿业、绿色蜕变、文创新生三大主题</w:t>
      </w:r>
      <w:r>
        <w:rPr>
          <w:rFonts w:hint="eastAsia"/>
          <w:shd w:val="clear" w:color="auto" w:fill="FFFFFF"/>
        </w:rPr>
        <w:t>，打造特色鲜明的</w:t>
      </w:r>
      <w:r>
        <w:rPr>
          <w:shd w:val="clear" w:color="auto" w:fill="FFFFFF"/>
        </w:rPr>
        <w:t>工业旅游目的地</w:t>
      </w:r>
      <w:bookmarkEnd w:id="68"/>
      <w:r>
        <w:rPr>
          <w:shd w:val="clear" w:color="auto" w:fill="FFFFFF"/>
        </w:rPr>
        <w:t>。</w:t>
      </w:r>
    </w:p>
    <w:p>
      <w:pPr>
        <w:ind w:firstLine="643"/>
      </w:pPr>
      <w:r>
        <w:rPr>
          <w:rFonts w:hint="eastAsia"/>
          <w:b/>
          <w:bCs/>
        </w:rPr>
        <w:t>拓展低空旅游</w:t>
      </w:r>
      <w:r>
        <w:rPr>
          <w:rFonts w:hint="eastAsia"/>
        </w:rPr>
        <w:t>。</w:t>
      </w:r>
      <w:bookmarkStart w:id="70" w:name="OLE_LINK75"/>
      <w:r>
        <w:rPr>
          <w:rFonts w:hint="eastAsia"/>
        </w:rPr>
        <w:t>支持各县（市、区）开发空中观光游览、航空运动、娱乐拍摄等项目，构建差异化低空旅游产品体系。加强低空旅游路线规划，因地制宜形成低空旅游网络，</w:t>
      </w:r>
      <w:r>
        <w:t>促进旅游资源整合</w:t>
      </w:r>
      <w:r>
        <w:rPr>
          <w:rFonts w:hint="eastAsia"/>
        </w:rPr>
        <w:t>与</w:t>
      </w:r>
      <w:r>
        <w:t>共享</w:t>
      </w:r>
      <w:r>
        <w:rPr>
          <w:rFonts w:hint="eastAsia"/>
        </w:rPr>
        <w:t>。鼓励文旅活动</w:t>
      </w:r>
      <w:r>
        <w:rPr>
          <w:rFonts w:hint="eastAsia"/>
          <w:lang w:eastAsia="zh-CN"/>
        </w:rPr>
        <w:t>在严守安全、合规前提下</w:t>
      </w:r>
      <w:r>
        <w:rPr>
          <w:rFonts w:hint="eastAsia"/>
        </w:rPr>
        <w:t>引入无人机表演等新模式。</w:t>
      </w:r>
      <w:bookmarkStart w:id="71" w:name="OLE_LINK7"/>
      <w:r>
        <w:rPr>
          <w:rFonts w:hint="eastAsia"/>
          <w:color w:val="auto"/>
          <w:lang w:eastAsia="zh-CN"/>
        </w:rPr>
        <w:t>支持</w:t>
      </w:r>
      <w:r>
        <w:rPr>
          <w:rFonts w:hint="eastAsia"/>
          <w:color w:val="auto"/>
        </w:rPr>
        <w:t>刘亚楼航空小镇、</w:t>
      </w:r>
      <w:r>
        <w:rPr>
          <w:color w:val="auto"/>
        </w:rPr>
        <w:t>低空旅游飞行营地</w:t>
      </w:r>
      <w:r>
        <w:rPr>
          <w:rFonts w:hint="eastAsia"/>
          <w:color w:val="auto"/>
        </w:rPr>
        <w:t>、</w:t>
      </w:r>
      <w:r>
        <w:rPr>
          <w:color w:val="auto"/>
        </w:rPr>
        <w:t>航空博物馆</w:t>
      </w:r>
      <w:r>
        <w:rPr>
          <w:rFonts w:hint="eastAsia"/>
          <w:color w:val="auto"/>
        </w:rPr>
        <w:t>等载体园区建设</w:t>
      </w:r>
      <w:bookmarkEnd w:id="70"/>
      <w:r>
        <w:rPr>
          <w:rFonts w:hint="eastAsia"/>
          <w:color w:val="auto"/>
        </w:rPr>
        <w:t>。</w:t>
      </w:r>
      <w:bookmarkEnd w:id="71"/>
    </w:p>
    <w:p>
      <w:pPr>
        <w:pStyle w:val="4"/>
        <w:spacing w:before="217" w:after="217"/>
        <w:ind w:firstLine="643"/>
      </w:pPr>
      <w:bookmarkStart w:id="72" w:name="_Toc231465203"/>
      <w:r>
        <w:rPr>
          <w:rFonts w:hint="eastAsia"/>
        </w:rPr>
        <w:t>（五）完善旅游要素服务体系</w:t>
      </w:r>
      <w:bookmarkEnd w:id="72"/>
    </w:p>
    <w:p>
      <w:pPr>
        <w:ind w:firstLine="640"/>
      </w:pPr>
      <w:r>
        <w:rPr>
          <w:rFonts w:hint="eastAsia"/>
        </w:rPr>
        <w:t>围绕“吃住行游购娱”全产业链需求，统筹优化旅游要素配置，通过补齐要素短板、提升服务品质、注入文化内涵，推动餐饮美食、旅游住宿、交通网络、文创商品、演艺娱乐等配套服务协同升级，构建覆盖全域的旅游要素服务体系。</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296" w:type="dxa"/>
          </w:tcPr>
          <w:p>
            <w:pPr>
              <w:ind w:firstLine="0" w:firstLineChars="0"/>
              <w:jc w:val="center"/>
            </w:pPr>
            <w:r>
              <w:rPr>
                <w:rFonts w:hint="eastAsia"/>
                <w:b/>
                <w:bCs/>
              </w:rPr>
              <w:t>专栏  完善旅游要素体系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ind w:firstLine="643"/>
            </w:pPr>
            <w:r>
              <w:rPr>
                <w:rFonts w:hint="eastAsia"/>
                <w:b/>
                <w:bCs/>
              </w:rPr>
              <w:t>打响餐饮美食品牌</w:t>
            </w:r>
            <w:r>
              <w:rPr>
                <w:rFonts w:hint="eastAsia"/>
              </w:rPr>
              <w:t>。支持各县（市、区）建设美食餐饮休闲街区，推动一县推出一桌特色菜品，打造一批特色餐饮名店，</w:t>
            </w:r>
            <w:r>
              <w:t>形成客家特色餐饮聚集效应</w:t>
            </w:r>
            <w:r>
              <w:rPr>
                <w:rFonts w:hint="eastAsia"/>
              </w:rPr>
              <w:t>。</w:t>
            </w:r>
            <w:r>
              <w:t>串联代表性景区</w:t>
            </w:r>
            <w:r>
              <w:rPr>
                <w:rFonts w:hint="eastAsia"/>
              </w:rPr>
              <w:t>、</w:t>
            </w:r>
            <w:r>
              <w:t>美食餐饮休闲街区，编制全市统一的“龙岩美食地图”</w:t>
            </w:r>
            <w:r>
              <w:rPr>
                <w:rFonts w:hint="eastAsia"/>
              </w:rPr>
              <w:t>。持续办好文旅“客家美食宴”大赛，提升客家美食的知名度和感染力。</w:t>
            </w:r>
          </w:p>
          <w:p>
            <w:pPr>
              <w:ind w:firstLine="643"/>
            </w:pPr>
            <w:r>
              <w:rPr>
                <w:rFonts w:hint="eastAsia"/>
                <w:b/>
                <w:bCs/>
              </w:rPr>
              <w:t>优化旅游住宿供给</w:t>
            </w:r>
            <w:r>
              <w:rPr>
                <w:rFonts w:hint="eastAsia"/>
              </w:rPr>
              <w:t>。</w:t>
            </w:r>
            <w:r>
              <w:t>依托中心城区集散优势统筹客源分流，盘活全域住宿资源。积极引进高端连锁品牌、助推本土酒店提质升星，扩充高端住宿供给</w:t>
            </w:r>
            <w:r>
              <w:rPr>
                <w:rFonts w:hint="eastAsia"/>
              </w:rPr>
              <w:t>。</w:t>
            </w:r>
            <w:r>
              <w:t>培育电竞酒店</w:t>
            </w:r>
            <w:r>
              <w:rPr>
                <w:rFonts w:hint="eastAsia"/>
              </w:rPr>
              <w:t>等</w:t>
            </w:r>
            <w:r>
              <w:t>新业态，精准对接青年消费市场。引进头部民宿运营主体，推进民宿标准化建设，构建层级完备的特色民宿体系。</w:t>
            </w:r>
          </w:p>
          <w:p>
            <w:pPr>
              <w:ind w:firstLine="643"/>
            </w:pPr>
            <w:r>
              <w:rPr>
                <w:rFonts w:hint="eastAsia"/>
                <w:b/>
                <w:bCs/>
              </w:rPr>
              <w:t>完善旅游交通网络</w:t>
            </w:r>
            <w:r>
              <w:rPr>
                <w:rFonts w:hint="eastAsia"/>
              </w:rPr>
              <w:t>。</w:t>
            </w:r>
            <w:r>
              <w:t>完善“快进慢游”旅游交通网络，织密景区旅游交通环线。优化客运接驳服务，丰富定制客运产品，开通A级景区旅游专线、景区直达班车，</w:t>
            </w:r>
            <w:r>
              <w:rPr>
                <w:rFonts w:hint="eastAsia"/>
                <w:lang w:eastAsia="zh-CN"/>
              </w:rPr>
              <w:t>鼓励</w:t>
            </w:r>
            <w:r>
              <w:t>引入出行平台入驻集散中心，实现交通枢纽与景区无缝衔接。优化自驾游配套体系，推进景区智慧停车场建设，完善近郊服务区、乡村旅游点停车、导览、公厕及新能源充电等配套设施。</w:t>
            </w:r>
          </w:p>
          <w:p>
            <w:pPr>
              <w:ind w:firstLine="643"/>
            </w:pPr>
            <w:r>
              <w:rPr>
                <w:rFonts w:hint="eastAsia"/>
                <w:b/>
                <w:bCs/>
              </w:rPr>
              <w:t>做强旅游文创商品</w:t>
            </w:r>
            <w:bookmarkStart w:id="73" w:name="OLE_LINK81"/>
            <w:r>
              <w:rPr>
                <w:rFonts w:hint="eastAsia"/>
                <w:b/>
                <w:bCs/>
              </w:rPr>
              <w:t>。</w:t>
            </w:r>
            <w:bookmarkEnd w:id="73"/>
            <w:r>
              <w:t>鼓励</w:t>
            </w:r>
            <w:r>
              <w:rPr>
                <w:rFonts w:hint="eastAsia"/>
              </w:rPr>
              <w:t>文旅主体单位与市场化</w:t>
            </w:r>
            <w:r>
              <w:t>设计机构</w:t>
            </w:r>
            <w:r>
              <w:rPr>
                <w:rFonts w:hint="eastAsia"/>
              </w:rPr>
              <w:t>开展</w:t>
            </w:r>
            <w:r>
              <w:t>深度合作，推出具有自主知识产权和地方特色的文创品牌；拓展线上线下联动的文创营销网络</w:t>
            </w:r>
            <w:r>
              <w:rPr>
                <w:rFonts w:hint="eastAsia"/>
              </w:rPr>
              <w:t>，开展文创产品定制服务</w:t>
            </w:r>
            <w:r>
              <w:t>。</w:t>
            </w:r>
            <w:bookmarkStart w:id="74" w:name="OLE_LINK82"/>
            <w:r>
              <w:rPr>
                <w:rFonts w:hint="eastAsia"/>
                <w:lang w:eastAsia="zh-CN"/>
              </w:rPr>
              <w:t>引导</w:t>
            </w:r>
            <w:r>
              <w:t>对“龙岩八大干”等进行深度加工与品牌化包装，推动其向精致化、高品质方向发展，提升附加值</w:t>
            </w:r>
            <w:bookmarkEnd w:id="74"/>
            <w:r>
              <w:t>。</w:t>
            </w:r>
            <w:r>
              <w:rPr>
                <w:rFonts w:hint="eastAsia"/>
                <w:lang w:eastAsia="zh-CN"/>
              </w:rPr>
              <w:t>鼓励</w:t>
            </w:r>
            <w:r>
              <w:t>实施“一县一店”工程，</w:t>
            </w:r>
            <w:r>
              <w:rPr>
                <w:rFonts w:hint="eastAsia"/>
              </w:rPr>
              <w:t>打造</w:t>
            </w:r>
            <w:r>
              <w:t>特色标杆门店</w:t>
            </w:r>
            <w:r>
              <w:rPr>
                <w:rFonts w:hint="eastAsia"/>
              </w:rPr>
              <w:t>。</w:t>
            </w:r>
          </w:p>
          <w:p>
            <w:pPr>
              <w:ind w:firstLine="643"/>
            </w:pPr>
            <w:r>
              <w:rPr>
                <w:rFonts w:hint="eastAsia"/>
                <w:b/>
                <w:bCs/>
                <w:shd w:val="clear" w:color="auto" w:fill="FFFFFF"/>
              </w:rPr>
              <w:t>丰富演艺娱乐产品</w:t>
            </w:r>
            <w:r>
              <w:rPr>
                <w:rFonts w:hint="eastAsia"/>
                <w:shd w:val="clear" w:color="auto" w:fill="FFFFFF"/>
              </w:rPr>
              <w:t>。</w:t>
            </w:r>
            <w:r>
              <w:rPr>
                <w:rFonts w:hint="eastAsia"/>
              </w:rPr>
              <w:t>鼓励发展中小型、主题性、特色类、定制类文化旅游演艺精品</w:t>
            </w:r>
            <w:r>
              <w:rPr>
                <w:rFonts w:hint="eastAsia"/>
                <w:shd w:val="clear" w:color="auto" w:fill="FFFFFF"/>
              </w:rPr>
              <w:t>。深化“文旅+演艺”融合，推出实景演出、沉浸式演艺项目，丰富景区和夜间文化产品供给。</w:t>
            </w:r>
            <w:r>
              <w:rPr>
                <w:rFonts w:hint="eastAsia"/>
                <w:shd w:val="clear" w:color="auto" w:fill="FFFFFF"/>
                <w:lang w:eastAsia="zh-CN"/>
              </w:rPr>
              <w:t>支持</w:t>
            </w:r>
            <w:r>
              <w:rPr>
                <w:rFonts w:hint="eastAsia"/>
                <w:shd w:val="clear" w:color="auto" w:fill="FFFFFF"/>
              </w:rPr>
              <w:t>引进高端音乐会、演唱会等演出活动，提升城市文化活力。</w:t>
            </w:r>
          </w:p>
        </w:tc>
      </w:tr>
    </w:tbl>
    <w:p>
      <w:pPr>
        <w:pStyle w:val="3"/>
        <w:spacing w:before="217" w:after="217"/>
        <w:ind w:firstLine="643"/>
      </w:pPr>
      <w:bookmarkStart w:id="75" w:name="_Toc231465204"/>
      <w:r>
        <w:rPr>
          <w:rFonts w:hint="eastAsia"/>
        </w:rPr>
        <w:t>六、完善现代文旅市场体系</w:t>
      </w:r>
      <w:bookmarkEnd w:id="75"/>
    </w:p>
    <w:p>
      <w:pPr>
        <w:pStyle w:val="4"/>
        <w:spacing w:before="217" w:after="217"/>
        <w:ind w:firstLine="643"/>
      </w:pPr>
      <w:bookmarkStart w:id="76" w:name="_Toc231465205"/>
      <w:r>
        <w:rPr>
          <w:rFonts w:hint="eastAsia"/>
        </w:rPr>
        <w:t>（一）培育壮大各类市场主体</w:t>
      </w:r>
      <w:bookmarkEnd w:id="76"/>
    </w:p>
    <w:p>
      <w:pPr>
        <w:ind w:firstLine="640"/>
        <w:rPr>
          <w:b/>
          <w:bCs/>
        </w:rPr>
      </w:pPr>
      <w:bookmarkStart w:id="77" w:name="OLE_LINK6"/>
      <w:r>
        <w:rPr>
          <w:rFonts w:ascii="Segoe UI" w:hAnsi="Segoe UI" w:cs="Segoe UI"/>
          <w:color w:val="0F1115"/>
          <w:shd w:val="clear" w:color="auto" w:fill="FFFFFF"/>
        </w:rPr>
        <w:t>实施龙头企业培育计划，引导重点国有及地方骨干企业通过资源整合、业态创新、品牌输出等方式提升市场化运营能力和核心竞争力，鼓励有条件的企业兼并重组，打造一批具有核心竞争力的</w:t>
      </w:r>
      <w:r>
        <w:t>“链主”</w:t>
      </w:r>
      <w:r>
        <w:rPr>
          <w:rFonts w:ascii="Segoe UI" w:hAnsi="Segoe UI" w:cs="Segoe UI"/>
          <w:color w:val="0F1115"/>
          <w:shd w:val="clear" w:color="auto" w:fill="FFFFFF"/>
        </w:rPr>
        <w:t>企业</w:t>
      </w:r>
      <w:r>
        <w:rPr>
          <w:rFonts w:hint="eastAsia" w:ascii="Segoe UI" w:hAnsi="Segoe UI" w:cs="Segoe UI"/>
          <w:color w:val="0F1115"/>
          <w:shd w:val="clear" w:color="auto" w:fill="FFFFFF"/>
        </w:rPr>
        <w:t>。</w:t>
      </w:r>
      <w:r>
        <w:rPr>
          <w:rFonts w:ascii="Segoe UI" w:hAnsi="Segoe UI" w:cs="Segoe UI"/>
          <w:color w:val="0F1115"/>
          <w:shd w:val="clear" w:color="auto" w:fill="FFFFFF"/>
        </w:rPr>
        <w:t>激发中小微文化企业活力，完善文化和旅游企业孵化育成体系，加大对中小微企业在融资信贷、空间租赁、人才培养等方面的扶持力度，</w:t>
      </w:r>
      <w:r>
        <w:t>引导其向“专精特新”方向发展，</w:t>
      </w:r>
      <w:r>
        <w:rPr>
          <w:rFonts w:ascii="Segoe UI" w:hAnsi="Segoe UI" w:cs="Segoe UI"/>
          <w:color w:val="0F1115"/>
          <w:shd w:val="clear" w:color="auto" w:fill="FFFFFF"/>
        </w:rPr>
        <w:t>并鼓励传统工艺作坊等创新提升。</w:t>
      </w:r>
    </w:p>
    <w:bookmarkEnd w:id="77"/>
    <w:p>
      <w:pPr>
        <w:pStyle w:val="4"/>
        <w:spacing w:before="217" w:after="217"/>
        <w:ind w:firstLine="643"/>
      </w:pPr>
      <w:bookmarkStart w:id="78" w:name="_Toc231465206"/>
      <w:r>
        <w:rPr>
          <w:rFonts w:hint="eastAsia"/>
        </w:rPr>
        <w:t>（二）构建新型文旅监管机制</w:t>
      </w:r>
      <w:bookmarkEnd w:id="78"/>
    </w:p>
    <w:p>
      <w:pPr>
        <w:ind w:firstLine="640"/>
      </w:pPr>
      <w:r>
        <w:t>加强网络文化、文物、新闻出版、版权等领域执法能力建设，提升对网络直播、元宇宙、NFT、VR/AR等新业态的监测取证能力。推进文旅标准化建设，制定实施景区管理、住宿服务等重点领域标准体系，建立以游客满意度为核心的服务质量评价体系和第三方评估机制。构建信用监管体系，健全信用信息归集、评价分级和失信惩戒制度，推行信用承诺制度，完善旅游投诉快速处理机制，优化</w:t>
      </w:r>
      <w:r>
        <w:rPr>
          <w:rFonts w:hint="eastAsia"/>
        </w:rPr>
        <w:t>“</w:t>
      </w:r>
      <w:r>
        <w:t>e龙岩</w:t>
      </w:r>
      <w:r>
        <w:rPr>
          <w:rFonts w:hint="eastAsia"/>
        </w:rPr>
        <w:t>”</w:t>
      </w:r>
      <w:r>
        <w:t>、12345平台投诉响应流程。</w:t>
      </w:r>
    </w:p>
    <w:p>
      <w:pPr>
        <w:pStyle w:val="3"/>
        <w:spacing w:before="217" w:after="217"/>
        <w:ind w:firstLine="643"/>
      </w:pPr>
      <w:bookmarkStart w:id="79" w:name="_Toc231465207"/>
      <w:r>
        <w:rPr>
          <w:rFonts w:hint="eastAsia"/>
        </w:rPr>
        <w:t>七、打造文旅发展开放生态</w:t>
      </w:r>
      <w:bookmarkEnd w:id="79"/>
    </w:p>
    <w:p>
      <w:pPr>
        <w:pStyle w:val="4"/>
        <w:spacing w:before="217" w:after="217"/>
        <w:ind w:firstLine="643"/>
      </w:pPr>
      <w:bookmarkStart w:id="80" w:name="_Toc231465208"/>
      <w:r>
        <w:rPr>
          <w:rFonts w:hint="eastAsia"/>
        </w:rPr>
        <w:t>（一）提升旅游国际化水平</w:t>
      </w:r>
      <w:bookmarkEnd w:id="80"/>
    </w:p>
    <w:p>
      <w:pPr>
        <w:ind w:firstLine="640"/>
      </w:pPr>
      <w:r>
        <w:rPr>
          <w:rFonts w:hint="eastAsia"/>
          <w:lang w:eastAsia="zh-CN"/>
        </w:rPr>
        <w:t>动员</w:t>
      </w:r>
      <w:r>
        <w:rPr>
          <w:rFonts w:hint="eastAsia"/>
        </w:rPr>
        <w:t>组织重点景区和文旅品牌</w:t>
      </w:r>
      <w:r>
        <w:rPr>
          <w:rFonts w:hint="eastAsia"/>
          <w:lang w:eastAsia="zh-CN"/>
        </w:rPr>
        <w:t>积极</w:t>
      </w:r>
      <w:r>
        <w:rPr>
          <w:rFonts w:hint="eastAsia"/>
        </w:rPr>
        <w:t>参加国际展会，</w:t>
      </w:r>
      <w:r>
        <w:rPr>
          <w:rFonts w:hint="eastAsia" w:ascii="仿宋_GB2312" w:hAnsi="仿宋"/>
          <w:szCs w:val="32"/>
        </w:rPr>
        <w:t>拓展海外媒体营销渠道</w:t>
      </w:r>
      <w:r>
        <w:rPr>
          <w:rFonts w:hint="eastAsia"/>
        </w:rPr>
        <w:t>。强化客家文化国际标识，以龙岩世界地质公园和永定客家土楼为核心，策划“地质奇观+世界遗产”主题线路。</w:t>
      </w:r>
      <w:r>
        <w:rPr>
          <w:rFonts w:hint="eastAsia"/>
          <w:color w:val="auto"/>
          <w:lang w:eastAsia="zh-CN"/>
        </w:rPr>
        <w:t>积极拓展国际</w:t>
      </w:r>
      <w:r>
        <w:rPr>
          <w:rFonts w:hint="eastAsia"/>
          <w:color w:val="auto"/>
        </w:rPr>
        <w:t>文旅合作，</w:t>
      </w:r>
      <w:r>
        <w:rPr>
          <w:rFonts w:hint="eastAsia"/>
        </w:rPr>
        <w:t>联动广州和省内口岸城市创新过境免签旅游产品，吸引国际游客“一程多站”旅游。依托厦龙山海协作机制，加强与厦门文旅部门</w:t>
      </w:r>
      <w:r>
        <w:rPr>
          <w:rFonts w:hint="eastAsia"/>
          <w:lang w:eastAsia="zh-CN"/>
        </w:rPr>
        <w:t>及</w:t>
      </w:r>
      <w:r>
        <w:rPr>
          <w:rFonts w:hint="eastAsia"/>
        </w:rPr>
        <w:t>机场、旅行社</w:t>
      </w:r>
      <w:r>
        <w:rPr>
          <w:rFonts w:hint="eastAsia"/>
          <w:lang w:eastAsia="zh-CN"/>
        </w:rPr>
        <w:t>等</w:t>
      </w:r>
      <w:r>
        <w:rPr>
          <w:rFonts w:hint="eastAsia"/>
        </w:rPr>
        <w:t>联动，精准吸引经厦入境国际客源。</w:t>
      </w:r>
    </w:p>
    <w:p>
      <w:pPr>
        <w:pStyle w:val="4"/>
        <w:spacing w:before="217" w:after="217"/>
        <w:ind w:firstLine="643"/>
      </w:pPr>
      <w:bookmarkStart w:id="81" w:name="_Toc231465209"/>
      <w:bookmarkStart w:id="82" w:name="OLE_LINK1"/>
      <w:r>
        <w:rPr>
          <w:rFonts w:hint="eastAsia"/>
        </w:rPr>
        <w:t>（二）构建多维度合作体系</w:t>
      </w:r>
      <w:bookmarkEnd w:id="81"/>
    </w:p>
    <w:p>
      <w:pPr>
        <w:ind w:firstLine="640"/>
      </w:pPr>
      <w:r>
        <w:rPr>
          <w:rFonts w:hint="eastAsia"/>
        </w:rPr>
        <w:t>加强与厦门、泉州、福州、漳州、莆田等省内滨海旅游城市联动，精准对接都市圈短途客群需求，构建“周末游龙岩”产品体系。联动江西赣州、广东梅州，</w:t>
      </w:r>
      <w:r>
        <w:t>共同推出“客家大三角”旅游线路，</w:t>
      </w:r>
      <w:r>
        <w:rPr>
          <w:rFonts w:hint="eastAsia"/>
        </w:rPr>
        <w:t>实现客家文化联合营销</w:t>
      </w:r>
      <w:r>
        <w:t>。</w:t>
      </w:r>
      <w:r>
        <w:rPr>
          <w:rFonts w:hint="eastAsia"/>
        </w:rPr>
        <w:t>深化与国内热门旅游城市、长征沿线城市红色旅游联盟的合作，全面拓展文旅协作广度与深度。</w:t>
      </w:r>
    </w:p>
    <w:p>
      <w:pPr>
        <w:pStyle w:val="4"/>
        <w:spacing w:before="217" w:after="217"/>
        <w:ind w:firstLine="643"/>
      </w:pPr>
      <w:bookmarkStart w:id="83" w:name="_Toc231465210"/>
      <w:r>
        <w:rPr>
          <w:rFonts w:hint="eastAsia"/>
        </w:rPr>
        <w:t>（三）深化两岸文旅交流合作</w:t>
      </w:r>
      <w:bookmarkEnd w:id="83"/>
    </w:p>
    <w:p>
      <w:pPr>
        <w:ind w:firstLine="640"/>
      </w:pPr>
      <w:r>
        <w:rPr>
          <w:rFonts w:hint="eastAsia"/>
        </w:rPr>
        <w:t>立足龙岩客家祖地优势，夯实两岸文化根脉与情感联结。</w:t>
      </w:r>
      <w:r>
        <w:rPr>
          <w:rFonts w:hint="eastAsia"/>
          <w:lang w:eastAsia="zh-CN"/>
        </w:rPr>
        <w:t>打造</w:t>
      </w:r>
      <w:r>
        <w:rPr>
          <w:rFonts w:hint="eastAsia"/>
        </w:rPr>
        <w:t>交流平台，巩固“海峡客家”“大陆阿里山”“海峡两岸农业交流大会”“海峡两岸（连城）青少年棒球邀请赛”四大品牌，提升永定客家文化园、武平狮岩景区、汀州客家首府、上杭客家族谱博物馆、连城棒球小镇、漳平台创园（樱花茶旅景区）等国家级、省级两岸交流基地功能，打造辐射全域、错位互补的对台交流矩阵。</w:t>
      </w:r>
    </w:p>
    <w:bookmarkEnd w:id="82"/>
    <w:p>
      <w:pPr>
        <w:pStyle w:val="3"/>
        <w:spacing w:before="217" w:after="217"/>
        <w:ind w:firstLine="643"/>
      </w:pPr>
      <w:bookmarkStart w:id="84" w:name="_Toc231465211"/>
      <w:r>
        <w:rPr>
          <w:rFonts w:hint="eastAsia"/>
        </w:rPr>
        <w:t>八、加快智慧文旅建设</w:t>
      </w:r>
      <w:bookmarkEnd w:id="84"/>
    </w:p>
    <w:p>
      <w:pPr>
        <w:ind w:firstLine="640"/>
        <w:rPr>
          <w:rFonts w:hint="eastAsia" w:ascii="Times New Roman" w:hAnsi="Times New Roman" w:eastAsia="仿宋_GB2312" w:cs="Times New Roman"/>
          <w:b/>
          <w:kern w:val="2"/>
          <w:sz w:val="32"/>
          <w:szCs w:val="32"/>
          <w:lang w:val="en-US" w:eastAsia="zh-CN" w:bidi="ar-SA"/>
        </w:rPr>
      </w:pPr>
      <w:bookmarkStart w:id="85" w:name="_Toc231465212"/>
      <w:r>
        <w:rPr>
          <w:rFonts w:hint="eastAsia" w:ascii="Times New Roman" w:hAnsi="Times New Roman" w:eastAsia="仿宋_GB2312" w:cs="Times New Roman"/>
          <w:b/>
          <w:kern w:val="2"/>
          <w:sz w:val="32"/>
          <w:szCs w:val="32"/>
          <w:lang w:val="en-US" w:eastAsia="zh-CN" w:bidi="ar-SA"/>
        </w:rPr>
        <w:t>（一）夯实智慧文旅</w:t>
      </w:r>
      <w:bookmarkEnd w:id="85"/>
      <w:r>
        <w:rPr>
          <w:rFonts w:hint="eastAsia" w:cs="Times New Roman"/>
          <w:b/>
          <w:kern w:val="2"/>
          <w:sz w:val="32"/>
          <w:szCs w:val="32"/>
          <w:lang w:val="en-US" w:eastAsia="zh-CN" w:bidi="ar-SA"/>
        </w:rPr>
        <w:t>服务体系</w:t>
      </w:r>
    </w:p>
    <w:p>
      <w:pPr>
        <w:ind w:firstLine="640"/>
        <w:rPr>
          <w:rFonts w:hint="eastAsia"/>
          <w:shd w:val="clear" w:color="auto" w:fill="FFFFFF"/>
        </w:rPr>
      </w:pPr>
      <w:r>
        <w:rPr>
          <w:rFonts w:hint="eastAsia"/>
          <w:shd w:val="clear" w:color="auto" w:fill="FFFFFF"/>
          <w:lang w:eastAsia="zh-CN"/>
        </w:rPr>
        <w:t>持续推进文旅场景数字化、智能化升级改造。引导</w:t>
      </w:r>
      <w:r>
        <w:rPr>
          <w:rFonts w:hint="eastAsia"/>
          <w:shd w:val="clear" w:color="auto" w:fill="FFFFFF"/>
        </w:rPr>
        <w:t>3A级以上景区、省级以上旅游度假区迭代升级智能闸机、智慧屏</w:t>
      </w:r>
      <w:r>
        <w:rPr>
          <w:rFonts w:hint="eastAsia"/>
          <w:shd w:val="clear" w:color="auto" w:fill="FFFFFF"/>
          <w:lang w:eastAsia="zh-CN"/>
        </w:rPr>
        <w:t>、智慧导览</w:t>
      </w:r>
      <w:r>
        <w:rPr>
          <w:rFonts w:hint="eastAsia"/>
          <w:shd w:val="clear" w:color="auto" w:fill="FFFFFF"/>
        </w:rPr>
        <w:t>等</w:t>
      </w:r>
      <w:r>
        <w:rPr>
          <w:rFonts w:hint="eastAsia"/>
          <w:shd w:val="clear" w:color="auto" w:fill="FFFFFF"/>
          <w:lang w:eastAsia="zh-CN"/>
        </w:rPr>
        <w:t>智慧设施，</w:t>
      </w:r>
      <w:r>
        <w:rPr>
          <w:rFonts w:hint="eastAsia"/>
          <w:shd w:val="clear" w:color="auto" w:fill="FFFFFF"/>
        </w:rPr>
        <w:t>加强停车场、游客服务中心、景区道路等引导标识系统的数字化与智能化改造</w:t>
      </w:r>
      <w:r>
        <w:rPr>
          <w:rFonts w:hint="eastAsia"/>
          <w:shd w:val="clear" w:color="auto" w:fill="FFFFFF"/>
          <w:lang w:eastAsia="zh-CN"/>
        </w:rPr>
        <w:t>，完善动态指引、流量预警、智慧分流等功能，全面提升游客便捷化、智能化游览体验</w:t>
      </w:r>
      <w:r>
        <w:rPr>
          <w:rFonts w:hint="eastAsia"/>
          <w:shd w:val="clear" w:color="auto" w:fill="FFFFFF"/>
        </w:rPr>
        <w:t>。</w:t>
      </w:r>
    </w:p>
    <w:p>
      <w:pPr>
        <w:ind w:firstLine="640"/>
        <w:rPr>
          <w:rFonts w:hint="eastAsia" w:ascii="Times New Roman" w:hAnsi="Times New Roman" w:eastAsia="仿宋_GB2312" w:cs="Times New Roman"/>
          <w:b/>
          <w:kern w:val="2"/>
          <w:sz w:val="32"/>
          <w:szCs w:val="32"/>
          <w:lang w:val="en-US" w:eastAsia="zh-CN" w:bidi="ar-SA"/>
        </w:rPr>
      </w:pPr>
      <w:bookmarkStart w:id="86" w:name="_Toc231465213"/>
      <w:r>
        <w:rPr>
          <w:rFonts w:hint="eastAsia" w:ascii="Times New Roman" w:hAnsi="Times New Roman" w:eastAsia="仿宋_GB2312" w:cs="Times New Roman"/>
          <w:b/>
          <w:kern w:val="2"/>
          <w:sz w:val="32"/>
          <w:szCs w:val="32"/>
          <w:lang w:val="en-US" w:eastAsia="zh-CN" w:bidi="ar-SA"/>
        </w:rPr>
        <w:t>（二）强化数字文旅成果转化</w:t>
      </w:r>
      <w:bookmarkEnd w:id="86"/>
    </w:p>
    <w:p>
      <w:pPr>
        <w:ind w:firstLine="640"/>
        <w:rPr>
          <w:rFonts w:ascii="仿宋_GB2312"/>
          <w:szCs w:val="32"/>
        </w:rPr>
      </w:pPr>
      <w:r>
        <w:rPr>
          <w:rFonts w:hint="eastAsia"/>
          <w:shd w:val="clear" w:color="auto" w:fill="FFFFFF"/>
          <w:lang w:eastAsia="zh-CN"/>
        </w:rPr>
        <w:t>依托数字中国创新大赛平台资源，</w:t>
      </w:r>
      <w:r>
        <w:rPr>
          <w:rFonts w:hint="eastAsia" w:ascii="仿宋_GB2312"/>
          <w:szCs w:val="32"/>
        </w:rPr>
        <w:t>争取</w:t>
      </w:r>
      <w:r>
        <w:rPr>
          <w:rFonts w:hint="eastAsia" w:ascii="仿宋_GB2312"/>
          <w:szCs w:val="32"/>
          <w:lang w:eastAsia="zh-CN"/>
        </w:rPr>
        <w:t>继续</w:t>
      </w:r>
      <w:r>
        <w:rPr>
          <w:rFonts w:hint="eastAsia" w:ascii="仿宋_GB2312"/>
          <w:szCs w:val="32"/>
        </w:rPr>
        <w:t>承办数字文旅赛道</w:t>
      </w:r>
      <w:r>
        <w:rPr>
          <w:rFonts w:hint="eastAsia" w:ascii="仿宋_GB2312"/>
          <w:szCs w:val="32"/>
          <w:lang w:eastAsia="zh-CN"/>
        </w:rPr>
        <w:t>赛事</w:t>
      </w:r>
      <w:r>
        <w:rPr>
          <w:rFonts w:hint="eastAsia" w:ascii="仿宋_GB2312"/>
          <w:szCs w:val="32"/>
        </w:rPr>
        <w:t>，</w:t>
      </w:r>
      <w:r>
        <w:rPr>
          <w:rFonts w:hint="eastAsia" w:ascii="仿宋_GB2312"/>
          <w:szCs w:val="32"/>
          <w:lang w:eastAsia="zh-CN"/>
        </w:rPr>
        <w:t>持续放大</w:t>
      </w:r>
      <w:r>
        <w:rPr>
          <w:rFonts w:hint="eastAsia" w:ascii="仿宋_GB2312"/>
          <w:szCs w:val="32"/>
        </w:rPr>
        <w:t>赛事</w:t>
      </w:r>
      <w:r>
        <w:rPr>
          <w:rFonts w:hint="eastAsia" w:ascii="仿宋_GB2312"/>
          <w:szCs w:val="32"/>
          <w:lang w:eastAsia="zh-CN"/>
        </w:rPr>
        <w:t>品牌效应，提升我市</w:t>
      </w:r>
      <w:r>
        <w:rPr>
          <w:rFonts w:hint="eastAsia" w:ascii="仿宋_GB2312"/>
          <w:szCs w:val="32"/>
        </w:rPr>
        <w:t>在全国数字产业领域的曝光度。</w:t>
      </w:r>
      <w:r>
        <w:rPr>
          <w:rFonts w:hint="eastAsia" w:ascii="仿宋_GB2312"/>
          <w:szCs w:val="32"/>
          <w:lang w:eastAsia="zh-CN"/>
        </w:rPr>
        <w:t>深化</w:t>
      </w:r>
      <w:r>
        <w:rPr>
          <w:rFonts w:hint="eastAsia" w:ascii="仿宋_GB2312"/>
          <w:szCs w:val="32"/>
        </w:rPr>
        <w:t>数字文旅政策对接</w:t>
      </w:r>
      <w:r>
        <w:rPr>
          <w:rFonts w:hint="eastAsia" w:ascii="仿宋_GB2312"/>
          <w:szCs w:val="32"/>
          <w:lang w:eastAsia="zh-CN"/>
        </w:rPr>
        <w:t>、技术适配与</w:t>
      </w:r>
      <w:r>
        <w:rPr>
          <w:rFonts w:hint="eastAsia" w:ascii="仿宋_GB2312"/>
          <w:szCs w:val="32"/>
        </w:rPr>
        <w:t>场景测试服务</w:t>
      </w:r>
      <w:r>
        <w:rPr>
          <w:rFonts w:hint="eastAsia" w:ascii="仿宋_GB2312"/>
          <w:szCs w:val="32"/>
          <w:lang w:eastAsia="zh-CN"/>
        </w:rPr>
        <w:t>，</w:t>
      </w:r>
      <w:r>
        <w:rPr>
          <w:rFonts w:hint="eastAsia" w:ascii="仿宋_GB2312"/>
          <w:szCs w:val="32"/>
        </w:rPr>
        <w:t>推动赛事</w:t>
      </w:r>
      <w:r>
        <w:rPr>
          <w:rFonts w:hint="eastAsia" w:ascii="仿宋_GB2312"/>
          <w:szCs w:val="32"/>
          <w:lang w:eastAsia="zh-CN"/>
        </w:rPr>
        <w:t>成果</w:t>
      </w:r>
      <w:r>
        <w:rPr>
          <w:rFonts w:hint="eastAsia" w:ascii="仿宋_GB2312"/>
          <w:szCs w:val="32"/>
        </w:rPr>
        <w:t>从“展示</w:t>
      </w:r>
      <w:r>
        <w:rPr>
          <w:rFonts w:hint="eastAsia" w:ascii="仿宋_GB2312"/>
          <w:szCs w:val="32"/>
          <w:lang w:eastAsia="zh-CN"/>
        </w:rPr>
        <w:t>亮相</w:t>
      </w:r>
      <w:r>
        <w:rPr>
          <w:rFonts w:hint="eastAsia" w:ascii="仿宋_GB2312"/>
          <w:szCs w:val="32"/>
        </w:rPr>
        <w:t>”向“落地转化”升级。探索与全国知名</w:t>
      </w:r>
      <w:r>
        <w:rPr>
          <w:rFonts w:hint="eastAsia" w:ascii="仿宋_GB2312"/>
          <w:szCs w:val="32"/>
          <w:lang w:eastAsia="zh-CN"/>
        </w:rPr>
        <w:t>景区景</w:t>
      </w:r>
      <w:r>
        <w:rPr>
          <w:rFonts w:hint="eastAsia" w:ascii="仿宋_GB2312"/>
          <w:szCs w:val="32"/>
        </w:rPr>
        <w:t>点合作，发掘数字文旅发展趋势中的“龙岩机遇”，</w:t>
      </w:r>
      <w:r>
        <w:rPr>
          <w:rFonts w:hint="eastAsia" w:ascii="仿宋_GB2312"/>
          <w:szCs w:val="32"/>
          <w:lang w:eastAsia="zh-CN"/>
        </w:rPr>
        <w:t>推动</w:t>
      </w:r>
      <w:r>
        <w:rPr>
          <w:rFonts w:hint="eastAsia" w:ascii="仿宋_GB2312"/>
          <w:szCs w:val="32"/>
        </w:rPr>
        <w:t>形成成果落地龙岩、推广全国的转化模式。</w:t>
      </w:r>
    </w:p>
    <w:p>
      <w:pPr>
        <w:widowControl/>
        <w:adjustRightInd/>
        <w:snapToGrid/>
        <w:spacing w:after="160" w:line="278" w:lineRule="auto"/>
        <w:ind w:firstLine="0" w:firstLineChars="0"/>
        <w:jc w:val="left"/>
        <w:rPr>
          <w:rFonts w:ascii="仿宋_GB2312"/>
          <w:szCs w:val="32"/>
        </w:rPr>
      </w:pPr>
      <w:r>
        <w:rPr>
          <w:rFonts w:ascii="仿宋_GB2312"/>
          <w:szCs w:val="32"/>
        </w:rPr>
        <w:br w:type="page"/>
      </w:r>
    </w:p>
    <w:p>
      <w:pPr>
        <w:pStyle w:val="2"/>
        <w:spacing w:before="217" w:after="435"/>
      </w:pPr>
      <w:bookmarkStart w:id="87" w:name="_Toc231465214"/>
      <w:r>
        <w:rPr>
          <w:rFonts w:hint="eastAsia"/>
        </w:rPr>
        <w:t>第四章  保障措施</w:t>
      </w:r>
      <w:bookmarkEnd w:id="87"/>
    </w:p>
    <w:p>
      <w:pPr>
        <w:pStyle w:val="3"/>
        <w:spacing w:before="217" w:after="217"/>
        <w:ind w:firstLine="643"/>
      </w:pPr>
      <w:bookmarkStart w:id="88" w:name="_Toc231465215"/>
      <w:r>
        <w:rPr>
          <w:rFonts w:hint="eastAsia"/>
        </w:rPr>
        <w:t>一、强化组织保障</w:t>
      </w:r>
      <w:bookmarkEnd w:id="88"/>
    </w:p>
    <w:p>
      <w:pPr>
        <w:ind w:firstLine="640"/>
        <w:rPr>
          <w:rFonts w:hint="eastAsia" w:hAnsi="仿宋_GB2312" w:cs="仿宋_GB2312"/>
        </w:rPr>
      </w:pPr>
      <w:r>
        <w:t>坚持党对文旅工作的全面领导，健全“一把手”抓文旅经济机制，市、县党政主要领导挂帅，定期研究重大事项。完善“全市一盘棋”统筹协调机制，明确职责分工，推动工作绩效纳入政府年度考核体系。</w:t>
      </w:r>
    </w:p>
    <w:p>
      <w:pPr>
        <w:pStyle w:val="3"/>
        <w:spacing w:before="217" w:after="217"/>
        <w:ind w:firstLine="643"/>
      </w:pPr>
      <w:bookmarkStart w:id="89" w:name="_Toc231465216"/>
      <w:r>
        <w:rPr>
          <w:rFonts w:hint="eastAsia"/>
        </w:rPr>
        <w:t>二、推进深化改革</w:t>
      </w:r>
      <w:bookmarkEnd w:id="89"/>
    </w:p>
    <w:p>
      <w:pPr>
        <w:ind w:firstLine="640"/>
        <w:rPr>
          <w:rFonts w:hint="eastAsia" w:ascii="仿宋_GB2312" w:hAnsi="仿宋_GB2312" w:cs="仿宋_GB2312"/>
        </w:rPr>
      </w:pPr>
      <w:r>
        <w:rPr>
          <w:rFonts w:ascii="仿宋_GB2312" w:hAnsi="仿宋_GB2312" w:cs="仿宋_GB2312"/>
        </w:rPr>
        <w:t>稳步推进公共文化设施所有权与使用权分置改革，引入社会力量参与</w:t>
      </w:r>
      <w:r>
        <w:rPr>
          <w:rFonts w:hint="eastAsia" w:ascii="仿宋_GB2312" w:hAnsi="仿宋_GB2312" w:cs="仿宋_GB2312"/>
        </w:rPr>
        <w:t>场馆运营、临展策划、文创开发，激发公共文化资源活力。</w:t>
      </w:r>
      <w:r>
        <w:rPr>
          <w:rFonts w:ascii="仿宋_GB2312" w:hAnsi="仿宋_GB2312" w:cs="仿宋_GB2312"/>
        </w:rPr>
        <w:t>支持国有文艺院团健全市场化机制。深化国有旅游集团混合所有制改革，推进文旅政务服务标准化、规范化、便利化</w:t>
      </w:r>
      <w:r>
        <w:rPr>
          <w:rFonts w:hint="eastAsia" w:ascii="仿宋_GB2312" w:hAnsi="仿宋_GB2312" w:cs="仿宋_GB2312"/>
        </w:rPr>
        <w:t>，营造更优营商环境。</w:t>
      </w:r>
    </w:p>
    <w:p>
      <w:pPr>
        <w:pStyle w:val="3"/>
        <w:spacing w:before="217" w:after="217"/>
        <w:ind w:firstLine="643"/>
      </w:pPr>
      <w:bookmarkStart w:id="90" w:name="_Toc231465217"/>
      <w:r>
        <w:rPr>
          <w:rFonts w:hint="eastAsia"/>
        </w:rPr>
        <w:t>三、落实法治保障</w:t>
      </w:r>
      <w:bookmarkEnd w:id="90"/>
    </w:p>
    <w:p>
      <w:pPr>
        <w:ind w:firstLine="640"/>
      </w:pPr>
      <w:r>
        <w:t>深入推进《龙岩市红色文化遗存保护条例》《龙岩市客家文化保护条例》等地方性法规落地见效，积极推动《龙岩市</w:t>
      </w:r>
      <w:r>
        <w:rPr>
          <w:rFonts w:hint="eastAsia"/>
          <w:lang w:eastAsia="zh-CN"/>
        </w:rPr>
        <w:t>文化旅游</w:t>
      </w:r>
      <w:r>
        <w:t>融合发展促进条例》立法进程，构建系统完备的法治环境。</w:t>
      </w:r>
      <w:r>
        <w:rPr>
          <w:rFonts w:hint="eastAsia"/>
        </w:rPr>
        <w:t>认真贯彻实施文物保护法、非遗法、旅游法等文化和旅游领域法律法规，切实抓好有关法律法规的准确运用和自觉执行。</w:t>
      </w:r>
    </w:p>
    <w:p>
      <w:pPr>
        <w:pStyle w:val="3"/>
        <w:spacing w:before="217" w:after="217"/>
        <w:ind w:firstLine="643"/>
      </w:pPr>
      <w:bookmarkStart w:id="91" w:name="_Toc231465218"/>
      <w:r>
        <w:rPr>
          <w:rFonts w:hint="eastAsia"/>
        </w:rPr>
        <w:t>四、创新金融支持</w:t>
      </w:r>
      <w:bookmarkEnd w:id="91"/>
    </w:p>
    <w:p>
      <w:pPr>
        <w:ind w:firstLine="640"/>
        <w:textAlignment w:val="baseline"/>
      </w:pPr>
      <w:r>
        <w:rPr>
          <w:rFonts w:hint="eastAsia"/>
        </w:rPr>
        <w:t>引</w:t>
      </w:r>
      <w:r>
        <w:t>导</w:t>
      </w:r>
      <w:r>
        <w:rPr>
          <w:rFonts w:hint="eastAsia"/>
        </w:rPr>
        <w:t>银行等</w:t>
      </w:r>
      <w:r>
        <w:t>金融机构开发“景区收益权质押贷”“文旅项目特许经营权质押贷”等融资工具。支持文旅企业通过上市、发行债券、资产证券化等方式直接融资。鼓励发行基础设施领域不动产投资信托基金（REITs）。引导私募股权基金加大对文旅企业股权投资力度。</w:t>
      </w:r>
      <w:r>
        <w:rPr>
          <w:rFonts w:hint="eastAsia"/>
          <w:szCs w:val="32"/>
        </w:rPr>
        <w:t>积极争取中央和省级各类文旅发展专项资金、地方政府专项债券等，用于支持具备社会效益和经济效益的重大文旅项目。</w:t>
      </w:r>
    </w:p>
    <w:sectPr>
      <w:headerReference r:id="rId9" w:type="default"/>
      <w:pgSz w:w="11906" w:h="16838"/>
      <w:pgMar w:top="1440" w:right="1800" w:bottom="1440" w:left="1800"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Helvetica Neue">
    <w:altName w:val="Arial Unicode MS"/>
    <w:panose1 w:val="00000000000000000000"/>
    <w:charset w:val="01"/>
    <w:family w:val="auto"/>
    <w:pitch w:val="default"/>
    <w:sig w:usb0="00000000" w:usb1="00000000" w:usb2="00000000" w:usb3="00000000" w:csb0="00040001" w:csb1="00000000"/>
  </w:font>
  <w:font w:name="Segoe UI">
    <w:panose1 w:val="020B0502040204020203"/>
    <w:charset w:val="00"/>
    <w:family w:val="swiss"/>
    <w:pitch w:val="default"/>
    <w:sig w:usb0="E10022FF" w:usb1="C000E47F" w:usb2="00000029" w:usb3="00000000" w:csb0="200001DF" w:csb1="2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1468852151"/>
    </w:sdtPr>
    <w:sdtEndPr>
      <w:rPr>
        <w:rStyle w:val="21"/>
        <w:sz w:val="21"/>
        <w:szCs w:val="21"/>
      </w:rPr>
    </w:sdtEndPr>
    <w:sdtContent>
      <w:p>
        <w:pPr>
          <w:pStyle w:val="12"/>
          <w:spacing w:line="240" w:lineRule="auto"/>
          <w:ind w:firstLine="0" w:firstLineChars="0"/>
          <w:jc w:val="center"/>
          <w:rPr>
            <w:sz w:val="21"/>
            <w:szCs w:val="21"/>
          </w:rPr>
        </w:pPr>
        <w:r>
          <w:rPr>
            <w:rStyle w:val="21"/>
            <w:sz w:val="21"/>
            <w:szCs w:val="21"/>
          </w:rPr>
          <w:fldChar w:fldCharType="begin"/>
        </w:r>
        <w:r>
          <w:rPr>
            <w:rStyle w:val="21"/>
            <w:sz w:val="21"/>
            <w:szCs w:val="21"/>
          </w:rPr>
          <w:instrText xml:space="preserve"> PAGE </w:instrText>
        </w:r>
        <w:r>
          <w:rPr>
            <w:rStyle w:val="21"/>
            <w:sz w:val="21"/>
            <w:szCs w:val="21"/>
          </w:rPr>
          <w:fldChar w:fldCharType="separate"/>
        </w:r>
        <w:r>
          <w:rPr>
            <w:rStyle w:val="21"/>
            <w:sz w:val="21"/>
            <w:szCs w:val="21"/>
          </w:rPr>
          <w:t>1</w:t>
        </w:r>
        <w:r>
          <w:rPr>
            <w:rStyle w:val="21"/>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1483041748"/>
    </w:sdtPr>
    <w:sdtEndPr>
      <w:rPr>
        <w:rStyle w:val="21"/>
      </w:rPr>
    </w:sdtEndPr>
    <w:sdtContent>
      <w:p>
        <w:pPr>
          <w:pStyle w:val="12"/>
          <w:framePr w:wrap="around" w:vAnchor="text" w:hAnchor="margin" w:xAlign="right" w:y="1"/>
          <w:ind w:firstLine="360"/>
          <w:rPr>
            <w:rStyle w:val="21"/>
          </w:rPr>
        </w:pPr>
        <w:r>
          <w:rPr>
            <w:rStyle w:val="21"/>
          </w:rPr>
          <w:fldChar w:fldCharType="begin"/>
        </w:r>
        <w:r>
          <w:rPr>
            <w:rStyle w:val="21"/>
          </w:rPr>
          <w:instrText xml:space="preserve"> PAGE </w:instrText>
        </w:r>
        <w:r>
          <w:rPr>
            <w:rStyle w:val="21"/>
          </w:rPr>
          <w:fldChar w:fldCharType="end"/>
        </w:r>
      </w:p>
    </w:sdtContent>
  </w:sdt>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52"/>
    <w:rsid w:val="00000D84"/>
    <w:rsid w:val="00000D99"/>
    <w:rsid w:val="0000162A"/>
    <w:rsid w:val="00001905"/>
    <w:rsid w:val="000022C9"/>
    <w:rsid w:val="00002AFF"/>
    <w:rsid w:val="00002EEC"/>
    <w:rsid w:val="000034E3"/>
    <w:rsid w:val="000037A4"/>
    <w:rsid w:val="000039E8"/>
    <w:rsid w:val="00004788"/>
    <w:rsid w:val="000047E9"/>
    <w:rsid w:val="00005832"/>
    <w:rsid w:val="00006A55"/>
    <w:rsid w:val="00006C4C"/>
    <w:rsid w:val="00006F4B"/>
    <w:rsid w:val="0000779C"/>
    <w:rsid w:val="0000799D"/>
    <w:rsid w:val="00007B1B"/>
    <w:rsid w:val="00011608"/>
    <w:rsid w:val="00011787"/>
    <w:rsid w:val="00011808"/>
    <w:rsid w:val="00011D66"/>
    <w:rsid w:val="00013075"/>
    <w:rsid w:val="00013D7A"/>
    <w:rsid w:val="0001430C"/>
    <w:rsid w:val="00014357"/>
    <w:rsid w:val="00014FB1"/>
    <w:rsid w:val="000155D2"/>
    <w:rsid w:val="000157D2"/>
    <w:rsid w:val="00015C60"/>
    <w:rsid w:val="00016E08"/>
    <w:rsid w:val="00016E45"/>
    <w:rsid w:val="0001765E"/>
    <w:rsid w:val="0001767B"/>
    <w:rsid w:val="000204EE"/>
    <w:rsid w:val="00020E2A"/>
    <w:rsid w:val="00021854"/>
    <w:rsid w:val="00021A2B"/>
    <w:rsid w:val="00021AB6"/>
    <w:rsid w:val="00022AC5"/>
    <w:rsid w:val="000230BE"/>
    <w:rsid w:val="0002322A"/>
    <w:rsid w:val="00023C96"/>
    <w:rsid w:val="00023DFC"/>
    <w:rsid w:val="00024B98"/>
    <w:rsid w:val="00024D09"/>
    <w:rsid w:val="0002548D"/>
    <w:rsid w:val="0002563A"/>
    <w:rsid w:val="00025E67"/>
    <w:rsid w:val="00026464"/>
    <w:rsid w:val="00026956"/>
    <w:rsid w:val="00027041"/>
    <w:rsid w:val="000270A8"/>
    <w:rsid w:val="00030181"/>
    <w:rsid w:val="00030B10"/>
    <w:rsid w:val="00030F65"/>
    <w:rsid w:val="00031394"/>
    <w:rsid w:val="00031689"/>
    <w:rsid w:val="00031A62"/>
    <w:rsid w:val="0003297A"/>
    <w:rsid w:val="000329F9"/>
    <w:rsid w:val="00032EFC"/>
    <w:rsid w:val="00033FEA"/>
    <w:rsid w:val="000346CE"/>
    <w:rsid w:val="000346E2"/>
    <w:rsid w:val="00035306"/>
    <w:rsid w:val="00035826"/>
    <w:rsid w:val="0003641F"/>
    <w:rsid w:val="00036421"/>
    <w:rsid w:val="00036702"/>
    <w:rsid w:val="0003682C"/>
    <w:rsid w:val="00036DA5"/>
    <w:rsid w:val="000408BD"/>
    <w:rsid w:val="000408FB"/>
    <w:rsid w:val="00041608"/>
    <w:rsid w:val="000417CA"/>
    <w:rsid w:val="00041F5E"/>
    <w:rsid w:val="000428C0"/>
    <w:rsid w:val="00043022"/>
    <w:rsid w:val="000430AF"/>
    <w:rsid w:val="00043B13"/>
    <w:rsid w:val="00044307"/>
    <w:rsid w:val="000443B2"/>
    <w:rsid w:val="000443BF"/>
    <w:rsid w:val="0004499F"/>
    <w:rsid w:val="00044A43"/>
    <w:rsid w:val="00045059"/>
    <w:rsid w:val="000450E3"/>
    <w:rsid w:val="00045160"/>
    <w:rsid w:val="0004538A"/>
    <w:rsid w:val="00045787"/>
    <w:rsid w:val="00045960"/>
    <w:rsid w:val="000459F2"/>
    <w:rsid w:val="00045DE1"/>
    <w:rsid w:val="00046951"/>
    <w:rsid w:val="00046A7C"/>
    <w:rsid w:val="00047930"/>
    <w:rsid w:val="0005022C"/>
    <w:rsid w:val="00050D7E"/>
    <w:rsid w:val="00051120"/>
    <w:rsid w:val="00051517"/>
    <w:rsid w:val="00051736"/>
    <w:rsid w:val="00051C30"/>
    <w:rsid w:val="00052134"/>
    <w:rsid w:val="00052590"/>
    <w:rsid w:val="0005271C"/>
    <w:rsid w:val="000528C3"/>
    <w:rsid w:val="0005308C"/>
    <w:rsid w:val="00053260"/>
    <w:rsid w:val="00053360"/>
    <w:rsid w:val="00053B1D"/>
    <w:rsid w:val="00053BFF"/>
    <w:rsid w:val="00053EB2"/>
    <w:rsid w:val="00055404"/>
    <w:rsid w:val="000554B2"/>
    <w:rsid w:val="0005671E"/>
    <w:rsid w:val="00056AC5"/>
    <w:rsid w:val="00056BB3"/>
    <w:rsid w:val="00060F77"/>
    <w:rsid w:val="00061410"/>
    <w:rsid w:val="0006146F"/>
    <w:rsid w:val="00061CBB"/>
    <w:rsid w:val="00061FAA"/>
    <w:rsid w:val="000630C7"/>
    <w:rsid w:val="00063186"/>
    <w:rsid w:val="00063D84"/>
    <w:rsid w:val="000641CD"/>
    <w:rsid w:val="000641D1"/>
    <w:rsid w:val="0006461D"/>
    <w:rsid w:val="00064BA7"/>
    <w:rsid w:val="00066E54"/>
    <w:rsid w:val="000706A2"/>
    <w:rsid w:val="000706E3"/>
    <w:rsid w:val="00070BC7"/>
    <w:rsid w:val="00070CB4"/>
    <w:rsid w:val="00070FDF"/>
    <w:rsid w:val="00071B3D"/>
    <w:rsid w:val="000723DC"/>
    <w:rsid w:val="0007270B"/>
    <w:rsid w:val="00072BFA"/>
    <w:rsid w:val="00072CBD"/>
    <w:rsid w:val="0007302C"/>
    <w:rsid w:val="00073A20"/>
    <w:rsid w:val="00073FD9"/>
    <w:rsid w:val="00074B42"/>
    <w:rsid w:val="00074B5C"/>
    <w:rsid w:val="00074D3E"/>
    <w:rsid w:val="00074F10"/>
    <w:rsid w:val="000752AF"/>
    <w:rsid w:val="00075588"/>
    <w:rsid w:val="00075758"/>
    <w:rsid w:val="00075872"/>
    <w:rsid w:val="00075B94"/>
    <w:rsid w:val="000761F1"/>
    <w:rsid w:val="00076927"/>
    <w:rsid w:val="00076C4C"/>
    <w:rsid w:val="00076CC1"/>
    <w:rsid w:val="00076D74"/>
    <w:rsid w:val="00077AFE"/>
    <w:rsid w:val="00077F08"/>
    <w:rsid w:val="00080048"/>
    <w:rsid w:val="0008064E"/>
    <w:rsid w:val="00080F55"/>
    <w:rsid w:val="00080FA8"/>
    <w:rsid w:val="000832AB"/>
    <w:rsid w:val="000833F1"/>
    <w:rsid w:val="000841BD"/>
    <w:rsid w:val="00084486"/>
    <w:rsid w:val="000844FC"/>
    <w:rsid w:val="00084B88"/>
    <w:rsid w:val="00084FA8"/>
    <w:rsid w:val="00085356"/>
    <w:rsid w:val="0008632D"/>
    <w:rsid w:val="00087084"/>
    <w:rsid w:val="00087953"/>
    <w:rsid w:val="00090055"/>
    <w:rsid w:val="00090847"/>
    <w:rsid w:val="000921BD"/>
    <w:rsid w:val="00093A8F"/>
    <w:rsid w:val="00093D32"/>
    <w:rsid w:val="00093D58"/>
    <w:rsid w:val="00094127"/>
    <w:rsid w:val="000944BC"/>
    <w:rsid w:val="000944E9"/>
    <w:rsid w:val="00094691"/>
    <w:rsid w:val="0009483E"/>
    <w:rsid w:val="00094AA2"/>
    <w:rsid w:val="00094CF8"/>
    <w:rsid w:val="0009518E"/>
    <w:rsid w:val="000958E3"/>
    <w:rsid w:val="00095B66"/>
    <w:rsid w:val="000965BA"/>
    <w:rsid w:val="00097221"/>
    <w:rsid w:val="00097352"/>
    <w:rsid w:val="0009739F"/>
    <w:rsid w:val="0009760A"/>
    <w:rsid w:val="000A1209"/>
    <w:rsid w:val="000A2ECD"/>
    <w:rsid w:val="000A2EE6"/>
    <w:rsid w:val="000A33F5"/>
    <w:rsid w:val="000A35FD"/>
    <w:rsid w:val="000A401E"/>
    <w:rsid w:val="000A4B62"/>
    <w:rsid w:val="000A53B4"/>
    <w:rsid w:val="000A5752"/>
    <w:rsid w:val="000A628A"/>
    <w:rsid w:val="000A6F57"/>
    <w:rsid w:val="000A783E"/>
    <w:rsid w:val="000A7C99"/>
    <w:rsid w:val="000B0ECF"/>
    <w:rsid w:val="000B13E8"/>
    <w:rsid w:val="000B1409"/>
    <w:rsid w:val="000B1759"/>
    <w:rsid w:val="000B1F75"/>
    <w:rsid w:val="000B2311"/>
    <w:rsid w:val="000B277F"/>
    <w:rsid w:val="000B2D69"/>
    <w:rsid w:val="000B30B8"/>
    <w:rsid w:val="000B31E9"/>
    <w:rsid w:val="000B4A5F"/>
    <w:rsid w:val="000B4D54"/>
    <w:rsid w:val="000B4FAF"/>
    <w:rsid w:val="000B520A"/>
    <w:rsid w:val="000B5BBA"/>
    <w:rsid w:val="000B6013"/>
    <w:rsid w:val="000B626C"/>
    <w:rsid w:val="000B63F7"/>
    <w:rsid w:val="000B64A9"/>
    <w:rsid w:val="000C0757"/>
    <w:rsid w:val="000C076D"/>
    <w:rsid w:val="000C0E0C"/>
    <w:rsid w:val="000C1295"/>
    <w:rsid w:val="000C179C"/>
    <w:rsid w:val="000C226D"/>
    <w:rsid w:val="000C2EA5"/>
    <w:rsid w:val="000C32C9"/>
    <w:rsid w:val="000C3DD8"/>
    <w:rsid w:val="000C4243"/>
    <w:rsid w:val="000C444B"/>
    <w:rsid w:val="000C48E1"/>
    <w:rsid w:val="000C4CF3"/>
    <w:rsid w:val="000C4EB8"/>
    <w:rsid w:val="000C4FE1"/>
    <w:rsid w:val="000C53DE"/>
    <w:rsid w:val="000C55F0"/>
    <w:rsid w:val="000C5B33"/>
    <w:rsid w:val="000C5B39"/>
    <w:rsid w:val="000C5E6C"/>
    <w:rsid w:val="000C6877"/>
    <w:rsid w:val="000C6E2C"/>
    <w:rsid w:val="000C6F63"/>
    <w:rsid w:val="000C708A"/>
    <w:rsid w:val="000C718F"/>
    <w:rsid w:val="000C7FF6"/>
    <w:rsid w:val="000D00F9"/>
    <w:rsid w:val="000D0999"/>
    <w:rsid w:val="000D0D30"/>
    <w:rsid w:val="000D10C7"/>
    <w:rsid w:val="000D1442"/>
    <w:rsid w:val="000D1D77"/>
    <w:rsid w:val="000D2002"/>
    <w:rsid w:val="000D227D"/>
    <w:rsid w:val="000D2B61"/>
    <w:rsid w:val="000D3602"/>
    <w:rsid w:val="000D37CD"/>
    <w:rsid w:val="000D38EC"/>
    <w:rsid w:val="000D51B8"/>
    <w:rsid w:val="000D5728"/>
    <w:rsid w:val="000D6620"/>
    <w:rsid w:val="000D7698"/>
    <w:rsid w:val="000D7F93"/>
    <w:rsid w:val="000E031C"/>
    <w:rsid w:val="000E087F"/>
    <w:rsid w:val="000E217C"/>
    <w:rsid w:val="000E21CB"/>
    <w:rsid w:val="000E310A"/>
    <w:rsid w:val="000E3308"/>
    <w:rsid w:val="000E390F"/>
    <w:rsid w:val="000E401B"/>
    <w:rsid w:val="000E4B28"/>
    <w:rsid w:val="000E4E26"/>
    <w:rsid w:val="000E4F9B"/>
    <w:rsid w:val="000E50AB"/>
    <w:rsid w:val="000E5540"/>
    <w:rsid w:val="000E5C30"/>
    <w:rsid w:val="000E5E69"/>
    <w:rsid w:val="000E61B4"/>
    <w:rsid w:val="000E6731"/>
    <w:rsid w:val="000E6874"/>
    <w:rsid w:val="000E6894"/>
    <w:rsid w:val="000E6D89"/>
    <w:rsid w:val="000E7349"/>
    <w:rsid w:val="000E76CF"/>
    <w:rsid w:val="000E77E6"/>
    <w:rsid w:val="000E7D29"/>
    <w:rsid w:val="000F04BF"/>
    <w:rsid w:val="000F121F"/>
    <w:rsid w:val="000F14F3"/>
    <w:rsid w:val="000F2047"/>
    <w:rsid w:val="000F22C0"/>
    <w:rsid w:val="000F27A9"/>
    <w:rsid w:val="000F29B7"/>
    <w:rsid w:val="000F394E"/>
    <w:rsid w:val="000F4174"/>
    <w:rsid w:val="000F4AB8"/>
    <w:rsid w:val="000F4D7C"/>
    <w:rsid w:val="000F4EF1"/>
    <w:rsid w:val="000F50FD"/>
    <w:rsid w:val="000F5319"/>
    <w:rsid w:val="000F537F"/>
    <w:rsid w:val="000F5396"/>
    <w:rsid w:val="000F61D9"/>
    <w:rsid w:val="000F7135"/>
    <w:rsid w:val="000F7338"/>
    <w:rsid w:val="000F74AD"/>
    <w:rsid w:val="000F74DE"/>
    <w:rsid w:val="000F7B15"/>
    <w:rsid w:val="000F7D5A"/>
    <w:rsid w:val="001002E1"/>
    <w:rsid w:val="00100A37"/>
    <w:rsid w:val="00100D1D"/>
    <w:rsid w:val="00100F01"/>
    <w:rsid w:val="001017BE"/>
    <w:rsid w:val="001029FC"/>
    <w:rsid w:val="00102B25"/>
    <w:rsid w:val="00103996"/>
    <w:rsid w:val="00103B9A"/>
    <w:rsid w:val="00105B8B"/>
    <w:rsid w:val="0010694A"/>
    <w:rsid w:val="00106B55"/>
    <w:rsid w:val="00106EE4"/>
    <w:rsid w:val="00106F1F"/>
    <w:rsid w:val="00106F2E"/>
    <w:rsid w:val="00107C9F"/>
    <w:rsid w:val="00107E6C"/>
    <w:rsid w:val="001101BA"/>
    <w:rsid w:val="0011100E"/>
    <w:rsid w:val="00111532"/>
    <w:rsid w:val="00111FB8"/>
    <w:rsid w:val="001133A1"/>
    <w:rsid w:val="00114D48"/>
    <w:rsid w:val="001155E1"/>
    <w:rsid w:val="00116079"/>
    <w:rsid w:val="0011625E"/>
    <w:rsid w:val="0011654E"/>
    <w:rsid w:val="001165E4"/>
    <w:rsid w:val="00116BEA"/>
    <w:rsid w:val="001173B2"/>
    <w:rsid w:val="0011795F"/>
    <w:rsid w:val="001206F7"/>
    <w:rsid w:val="00120A61"/>
    <w:rsid w:val="00120C12"/>
    <w:rsid w:val="00120F0D"/>
    <w:rsid w:val="001212A6"/>
    <w:rsid w:val="0012165A"/>
    <w:rsid w:val="00121CD7"/>
    <w:rsid w:val="00121E28"/>
    <w:rsid w:val="00122283"/>
    <w:rsid w:val="0012248E"/>
    <w:rsid w:val="001225ED"/>
    <w:rsid w:val="00122887"/>
    <w:rsid w:val="00122F82"/>
    <w:rsid w:val="00123048"/>
    <w:rsid w:val="0012307D"/>
    <w:rsid w:val="0012356A"/>
    <w:rsid w:val="00123878"/>
    <w:rsid w:val="00123AC7"/>
    <w:rsid w:val="00123C4E"/>
    <w:rsid w:val="0012400A"/>
    <w:rsid w:val="001248AF"/>
    <w:rsid w:val="0012648E"/>
    <w:rsid w:val="00126629"/>
    <w:rsid w:val="00127E60"/>
    <w:rsid w:val="00127F35"/>
    <w:rsid w:val="00130630"/>
    <w:rsid w:val="0013093C"/>
    <w:rsid w:val="00130C8C"/>
    <w:rsid w:val="0013100B"/>
    <w:rsid w:val="0013146D"/>
    <w:rsid w:val="001319E8"/>
    <w:rsid w:val="00131D14"/>
    <w:rsid w:val="001320EF"/>
    <w:rsid w:val="001324FB"/>
    <w:rsid w:val="00132955"/>
    <w:rsid w:val="00132A5E"/>
    <w:rsid w:val="00133343"/>
    <w:rsid w:val="001334B5"/>
    <w:rsid w:val="00133F04"/>
    <w:rsid w:val="00134130"/>
    <w:rsid w:val="001341FD"/>
    <w:rsid w:val="00134F93"/>
    <w:rsid w:val="00135304"/>
    <w:rsid w:val="00135BDB"/>
    <w:rsid w:val="001360B2"/>
    <w:rsid w:val="00136455"/>
    <w:rsid w:val="001365C8"/>
    <w:rsid w:val="001374DB"/>
    <w:rsid w:val="0013794D"/>
    <w:rsid w:val="00140922"/>
    <w:rsid w:val="00141246"/>
    <w:rsid w:val="001414E7"/>
    <w:rsid w:val="001415DB"/>
    <w:rsid w:val="00141752"/>
    <w:rsid w:val="00141C4C"/>
    <w:rsid w:val="0014209A"/>
    <w:rsid w:val="00142668"/>
    <w:rsid w:val="001427D6"/>
    <w:rsid w:val="0014380A"/>
    <w:rsid w:val="0014389D"/>
    <w:rsid w:val="00143E0C"/>
    <w:rsid w:val="0014469B"/>
    <w:rsid w:val="001459E3"/>
    <w:rsid w:val="00145E94"/>
    <w:rsid w:val="0014605F"/>
    <w:rsid w:val="001463BA"/>
    <w:rsid w:val="00147DEC"/>
    <w:rsid w:val="00150069"/>
    <w:rsid w:val="00150653"/>
    <w:rsid w:val="00150BB3"/>
    <w:rsid w:val="00150BEC"/>
    <w:rsid w:val="00151098"/>
    <w:rsid w:val="00151657"/>
    <w:rsid w:val="001519B8"/>
    <w:rsid w:val="0015353A"/>
    <w:rsid w:val="00153551"/>
    <w:rsid w:val="00153A02"/>
    <w:rsid w:val="00153EEC"/>
    <w:rsid w:val="00153F2D"/>
    <w:rsid w:val="00154053"/>
    <w:rsid w:val="00154DA5"/>
    <w:rsid w:val="001556C1"/>
    <w:rsid w:val="0015573A"/>
    <w:rsid w:val="0015581F"/>
    <w:rsid w:val="001560D9"/>
    <w:rsid w:val="00156C75"/>
    <w:rsid w:val="00157779"/>
    <w:rsid w:val="001577C5"/>
    <w:rsid w:val="00157862"/>
    <w:rsid w:val="0015792A"/>
    <w:rsid w:val="001602AC"/>
    <w:rsid w:val="0016047A"/>
    <w:rsid w:val="001606C5"/>
    <w:rsid w:val="001606DA"/>
    <w:rsid w:val="001607FC"/>
    <w:rsid w:val="00160EE8"/>
    <w:rsid w:val="00160F38"/>
    <w:rsid w:val="001613D9"/>
    <w:rsid w:val="0016147F"/>
    <w:rsid w:val="00162161"/>
    <w:rsid w:val="001629BC"/>
    <w:rsid w:val="00162C53"/>
    <w:rsid w:val="0016338C"/>
    <w:rsid w:val="0016431D"/>
    <w:rsid w:val="0016434F"/>
    <w:rsid w:val="00164AAA"/>
    <w:rsid w:val="001650BA"/>
    <w:rsid w:val="0016594C"/>
    <w:rsid w:val="001667B4"/>
    <w:rsid w:val="001667E4"/>
    <w:rsid w:val="0016684C"/>
    <w:rsid w:val="00166E03"/>
    <w:rsid w:val="001670DE"/>
    <w:rsid w:val="001671D1"/>
    <w:rsid w:val="00167ABA"/>
    <w:rsid w:val="00170081"/>
    <w:rsid w:val="00170440"/>
    <w:rsid w:val="00170558"/>
    <w:rsid w:val="00170819"/>
    <w:rsid w:val="00170CA4"/>
    <w:rsid w:val="00171241"/>
    <w:rsid w:val="00171375"/>
    <w:rsid w:val="00171A5E"/>
    <w:rsid w:val="00171BBA"/>
    <w:rsid w:val="00171F62"/>
    <w:rsid w:val="00172125"/>
    <w:rsid w:val="00172550"/>
    <w:rsid w:val="00172B0F"/>
    <w:rsid w:val="00173BBD"/>
    <w:rsid w:val="00173D65"/>
    <w:rsid w:val="00174133"/>
    <w:rsid w:val="00174D0E"/>
    <w:rsid w:val="001753C1"/>
    <w:rsid w:val="00175D9B"/>
    <w:rsid w:val="00176307"/>
    <w:rsid w:val="00176397"/>
    <w:rsid w:val="0017652C"/>
    <w:rsid w:val="001769C3"/>
    <w:rsid w:val="00176BCE"/>
    <w:rsid w:val="00176F1F"/>
    <w:rsid w:val="00176F67"/>
    <w:rsid w:val="001776C8"/>
    <w:rsid w:val="00177ED3"/>
    <w:rsid w:val="0018070E"/>
    <w:rsid w:val="00181924"/>
    <w:rsid w:val="00182261"/>
    <w:rsid w:val="00182479"/>
    <w:rsid w:val="00182A11"/>
    <w:rsid w:val="001832BC"/>
    <w:rsid w:val="00183B66"/>
    <w:rsid w:val="00183EFE"/>
    <w:rsid w:val="00183F65"/>
    <w:rsid w:val="001848BF"/>
    <w:rsid w:val="0018496C"/>
    <w:rsid w:val="00184D9A"/>
    <w:rsid w:val="00184E23"/>
    <w:rsid w:val="001858FB"/>
    <w:rsid w:val="00185A87"/>
    <w:rsid w:val="00185E5C"/>
    <w:rsid w:val="00185F7B"/>
    <w:rsid w:val="001862A4"/>
    <w:rsid w:val="00187B13"/>
    <w:rsid w:val="0019073E"/>
    <w:rsid w:val="00191173"/>
    <w:rsid w:val="001912A6"/>
    <w:rsid w:val="001917C1"/>
    <w:rsid w:val="0019187B"/>
    <w:rsid w:val="00191885"/>
    <w:rsid w:val="00192813"/>
    <w:rsid w:val="0019283B"/>
    <w:rsid w:val="00192A44"/>
    <w:rsid w:val="00192A62"/>
    <w:rsid w:val="00192C94"/>
    <w:rsid w:val="00192FB5"/>
    <w:rsid w:val="001936D9"/>
    <w:rsid w:val="00193F4F"/>
    <w:rsid w:val="001942E3"/>
    <w:rsid w:val="00194CBD"/>
    <w:rsid w:val="001956EC"/>
    <w:rsid w:val="00195E9D"/>
    <w:rsid w:val="00195EAF"/>
    <w:rsid w:val="0019659D"/>
    <w:rsid w:val="00196999"/>
    <w:rsid w:val="00196CC6"/>
    <w:rsid w:val="00196E66"/>
    <w:rsid w:val="00197410"/>
    <w:rsid w:val="00197494"/>
    <w:rsid w:val="001976C4"/>
    <w:rsid w:val="001A0337"/>
    <w:rsid w:val="001A0A04"/>
    <w:rsid w:val="001A1038"/>
    <w:rsid w:val="001A166B"/>
    <w:rsid w:val="001A2C61"/>
    <w:rsid w:val="001A2C82"/>
    <w:rsid w:val="001A2F22"/>
    <w:rsid w:val="001A3118"/>
    <w:rsid w:val="001A3FE2"/>
    <w:rsid w:val="001A5AB4"/>
    <w:rsid w:val="001A5EB9"/>
    <w:rsid w:val="001A6251"/>
    <w:rsid w:val="001A7311"/>
    <w:rsid w:val="001A7ACE"/>
    <w:rsid w:val="001B073F"/>
    <w:rsid w:val="001B0E2C"/>
    <w:rsid w:val="001B1B6A"/>
    <w:rsid w:val="001B2A78"/>
    <w:rsid w:val="001B2DB3"/>
    <w:rsid w:val="001B4047"/>
    <w:rsid w:val="001B43B6"/>
    <w:rsid w:val="001B509A"/>
    <w:rsid w:val="001B55B4"/>
    <w:rsid w:val="001B5612"/>
    <w:rsid w:val="001B5A7A"/>
    <w:rsid w:val="001B6D1D"/>
    <w:rsid w:val="001B7047"/>
    <w:rsid w:val="001C0101"/>
    <w:rsid w:val="001C17F8"/>
    <w:rsid w:val="001C3D5D"/>
    <w:rsid w:val="001C4236"/>
    <w:rsid w:val="001C456C"/>
    <w:rsid w:val="001C4587"/>
    <w:rsid w:val="001C4CF6"/>
    <w:rsid w:val="001C57E8"/>
    <w:rsid w:val="001C5821"/>
    <w:rsid w:val="001C5BAD"/>
    <w:rsid w:val="001C655B"/>
    <w:rsid w:val="001C6927"/>
    <w:rsid w:val="001C6964"/>
    <w:rsid w:val="001C6B4B"/>
    <w:rsid w:val="001C7DA8"/>
    <w:rsid w:val="001D0361"/>
    <w:rsid w:val="001D05E4"/>
    <w:rsid w:val="001D0AC8"/>
    <w:rsid w:val="001D1268"/>
    <w:rsid w:val="001D15DE"/>
    <w:rsid w:val="001D188B"/>
    <w:rsid w:val="001D19A1"/>
    <w:rsid w:val="001D2E9A"/>
    <w:rsid w:val="001D43BC"/>
    <w:rsid w:val="001D45D8"/>
    <w:rsid w:val="001D475A"/>
    <w:rsid w:val="001D492A"/>
    <w:rsid w:val="001D4CB3"/>
    <w:rsid w:val="001D576F"/>
    <w:rsid w:val="001D5B04"/>
    <w:rsid w:val="001D6CE7"/>
    <w:rsid w:val="001D6E1D"/>
    <w:rsid w:val="001D7C05"/>
    <w:rsid w:val="001D7D87"/>
    <w:rsid w:val="001D7F2B"/>
    <w:rsid w:val="001E089A"/>
    <w:rsid w:val="001E0C6E"/>
    <w:rsid w:val="001E1022"/>
    <w:rsid w:val="001E13F4"/>
    <w:rsid w:val="001E1669"/>
    <w:rsid w:val="001E1787"/>
    <w:rsid w:val="001E1FD6"/>
    <w:rsid w:val="001E27A6"/>
    <w:rsid w:val="001E323C"/>
    <w:rsid w:val="001E3761"/>
    <w:rsid w:val="001E38A9"/>
    <w:rsid w:val="001E3D99"/>
    <w:rsid w:val="001E3DBD"/>
    <w:rsid w:val="001E4007"/>
    <w:rsid w:val="001E47DE"/>
    <w:rsid w:val="001E4D25"/>
    <w:rsid w:val="001E4EAB"/>
    <w:rsid w:val="001E5069"/>
    <w:rsid w:val="001E5713"/>
    <w:rsid w:val="001E5B89"/>
    <w:rsid w:val="001E6282"/>
    <w:rsid w:val="001E6307"/>
    <w:rsid w:val="001E65BA"/>
    <w:rsid w:val="001E6BD7"/>
    <w:rsid w:val="001E72D0"/>
    <w:rsid w:val="001E7F21"/>
    <w:rsid w:val="001F02DB"/>
    <w:rsid w:val="001F0566"/>
    <w:rsid w:val="001F0725"/>
    <w:rsid w:val="001F0D0C"/>
    <w:rsid w:val="001F1DD2"/>
    <w:rsid w:val="001F26FD"/>
    <w:rsid w:val="001F2859"/>
    <w:rsid w:val="001F2BEA"/>
    <w:rsid w:val="001F2C1E"/>
    <w:rsid w:val="001F3B9E"/>
    <w:rsid w:val="001F3F0B"/>
    <w:rsid w:val="001F4437"/>
    <w:rsid w:val="001F45A5"/>
    <w:rsid w:val="001F4CF2"/>
    <w:rsid w:val="001F4F21"/>
    <w:rsid w:val="001F529E"/>
    <w:rsid w:val="001F5772"/>
    <w:rsid w:val="001F5EF6"/>
    <w:rsid w:val="001F60C1"/>
    <w:rsid w:val="001F62AD"/>
    <w:rsid w:val="001F6556"/>
    <w:rsid w:val="001F706A"/>
    <w:rsid w:val="001F712F"/>
    <w:rsid w:val="001F77CA"/>
    <w:rsid w:val="001F7987"/>
    <w:rsid w:val="001F7DE6"/>
    <w:rsid w:val="001F7F29"/>
    <w:rsid w:val="002010B8"/>
    <w:rsid w:val="002013CF"/>
    <w:rsid w:val="00203040"/>
    <w:rsid w:val="00203387"/>
    <w:rsid w:val="00203CB1"/>
    <w:rsid w:val="00204112"/>
    <w:rsid w:val="0020468A"/>
    <w:rsid w:val="00204F87"/>
    <w:rsid w:val="002056FE"/>
    <w:rsid w:val="00205A5C"/>
    <w:rsid w:val="00205D43"/>
    <w:rsid w:val="002062AA"/>
    <w:rsid w:val="00206F2B"/>
    <w:rsid w:val="00206F36"/>
    <w:rsid w:val="00207563"/>
    <w:rsid w:val="0021061B"/>
    <w:rsid w:val="002109FF"/>
    <w:rsid w:val="00210FF8"/>
    <w:rsid w:val="00211804"/>
    <w:rsid w:val="00211821"/>
    <w:rsid w:val="0021241E"/>
    <w:rsid w:val="0021247F"/>
    <w:rsid w:val="00212698"/>
    <w:rsid w:val="0021272A"/>
    <w:rsid w:val="00212F15"/>
    <w:rsid w:val="00213513"/>
    <w:rsid w:val="00213D43"/>
    <w:rsid w:val="00214AB2"/>
    <w:rsid w:val="00215BA0"/>
    <w:rsid w:val="00215CC3"/>
    <w:rsid w:val="00215F83"/>
    <w:rsid w:val="002166F1"/>
    <w:rsid w:val="00216744"/>
    <w:rsid w:val="00216DEA"/>
    <w:rsid w:val="0021775D"/>
    <w:rsid w:val="00220800"/>
    <w:rsid w:val="00221549"/>
    <w:rsid w:val="00221D5C"/>
    <w:rsid w:val="0022290E"/>
    <w:rsid w:val="00222AEC"/>
    <w:rsid w:val="00223282"/>
    <w:rsid w:val="002241FF"/>
    <w:rsid w:val="002243E1"/>
    <w:rsid w:val="00224B96"/>
    <w:rsid w:val="0022513F"/>
    <w:rsid w:val="0022539F"/>
    <w:rsid w:val="002256E9"/>
    <w:rsid w:val="00225A48"/>
    <w:rsid w:val="0022648D"/>
    <w:rsid w:val="0022677B"/>
    <w:rsid w:val="002269E7"/>
    <w:rsid w:val="00226D48"/>
    <w:rsid w:val="0022758B"/>
    <w:rsid w:val="002277BD"/>
    <w:rsid w:val="00227DBD"/>
    <w:rsid w:val="00230B0F"/>
    <w:rsid w:val="00232140"/>
    <w:rsid w:val="00232815"/>
    <w:rsid w:val="00232EBF"/>
    <w:rsid w:val="00233C2A"/>
    <w:rsid w:val="00234AB5"/>
    <w:rsid w:val="00234CE3"/>
    <w:rsid w:val="00234EB0"/>
    <w:rsid w:val="002355FF"/>
    <w:rsid w:val="0023598D"/>
    <w:rsid w:val="00236821"/>
    <w:rsid w:val="00236899"/>
    <w:rsid w:val="00237345"/>
    <w:rsid w:val="00237D1E"/>
    <w:rsid w:val="00237D20"/>
    <w:rsid w:val="00240335"/>
    <w:rsid w:val="00240514"/>
    <w:rsid w:val="00240D60"/>
    <w:rsid w:val="00240DDF"/>
    <w:rsid w:val="00241CD1"/>
    <w:rsid w:val="00241D8D"/>
    <w:rsid w:val="00241EED"/>
    <w:rsid w:val="00241FB8"/>
    <w:rsid w:val="002421E5"/>
    <w:rsid w:val="00242249"/>
    <w:rsid w:val="002425DE"/>
    <w:rsid w:val="002435DD"/>
    <w:rsid w:val="00243F1C"/>
    <w:rsid w:val="002446EC"/>
    <w:rsid w:val="002457FB"/>
    <w:rsid w:val="00245850"/>
    <w:rsid w:val="00245AAB"/>
    <w:rsid w:val="00245C0E"/>
    <w:rsid w:val="00245C18"/>
    <w:rsid w:val="0024637F"/>
    <w:rsid w:val="00246794"/>
    <w:rsid w:val="00246A53"/>
    <w:rsid w:val="00246BBA"/>
    <w:rsid w:val="0024775A"/>
    <w:rsid w:val="002479B1"/>
    <w:rsid w:val="002479F6"/>
    <w:rsid w:val="00247FCC"/>
    <w:rsid w:val="00250A6F"/>
    <w:rsid w:val="00250FF8"/>
    <w:rsid w:val="00251124"/>
    <w:rsid w:val="00251241"/>
    <w:rsid w:val="00251409"/>
    <w:rsid w:val="00251454"/>
    <w:rsid w:val="002515E0"/>
    <w:rsid w:val="00251C97"/>
    <w:rsid w:val="002521A5"/>
    <w:rsid w:val="00253A42"/>
    <w:rsid w:val="00253C36"/>
    <w:rsid w:val="00253CF4"/>
    <w:rsid w:val="002548FA"/>
    <w:rsid w:val="00254A8A"/>
    <w:rsid w:val="00255CA2"/>
    <w:rsid w:val="00256095"/>
    <w:rsid w:val="00257103"/>
    <w:rsid w:val="00257137"/>
    <w:rsid w:val="00257145"/>
    <w:rsid w:val="002576A4"/>
    <w:rsid w:val="002576F7"/>
    <w:rsid w:val="00260730"/>
    <w:rsid w:val="00260928"/>
    <w:rsid w:val="00260D03"/>
    <w:rsid w:val="002611E3"/>
    <w:rsid w:val="002615B6"/>
    <w:rsid w:val="00261D1A"/>
    <w:rsid w:val="00261DD9"/>
    <w:rsid w:val="00262450"/>
    <w:rsid w:val="00262C7E"/>
    <w:rsid w:val="00262D7F"/>
    <w:rsid w:val="00263855"/>
    <w:rsid w:val="00263A98"/>
    <w:rsid w:val="00264215"/>
    <w:rsid w:val="00264615"/>
    <w:rsid w:val="00265073"/>
    <w:rsid w:val="0026528B"/>
    <w:rsid w:val="00265500"/>
    <w:rsid w:val="00265A42"/>
    <w:rsid w:val="00265FE1"/>
    <w:rsid w:val="00266747"/>
    <w:rsid w:val="002667D4"/>
    <w:rsid w:val="00266BE3"/>
    <w:rsid w:val="00266C5E"/>
    <w:rsid w:val="0026729C"/>
    <w:rsid w:val="00267E06"/>
    <w:rsid w:val="00270187"/>
    <w:rsid w:val="002703BF"/>
    <w:rsid w:val="00270CAC"/>
    <w:rsid w:val="00270EC8"/>
    <w:rsid w:val="002718EB"/>
    <w:rsid w:val="002724A1"/>
    <w:rsid w:val="00272928"/>
    <w:rsid w:val="00272CD4"/>
    <w:rsid w:val="00274250"/>
    <w:rsid w:val="00274D81"/>
    <w:rsid w:val="0027601A"/>
    <w:rsid w:val="00276732"/>
    <w:rsid w:val="00277DDA"/>
    <w:rsid w:val="00277F3C"/>
    <w:rsid w:val="00280215"/>
    <w:rsid w:val="00280750"/>
    <w:rsid w:val="00280F80"/>
    <w:rsid w:val="002817DE"/>
    <w:rsid w:val="002819C4"/>
    <w:rsid w:val="00281DFD"/>
    <w:rsid w:val="00281F85"/>
    <w:rsid w:val="00283380"/>
    <w:rsid w:val="0028398D"/>
    <w:rsid w:val="00285090"/>
    <w:rsid w:val="0028522C"/>
    <w:rsid w:val="00285822"/>
    <w:rsid w:val="00285972"/>
    <w:rsid w:val="00286079"/>
    <w:rsid w:val="0028643A"/>
    <w:rsid w:val="00286C64"/>
    <w:rsid w:val="002870C4"/>
    <w:rsid w:val="0028715C"/>
    <w:rsid w:val="0028724C"/>
    <w:rsid w:val="00287333"/>
    <w:rsid w:val="002873FD"/>
    <w:rsid w:val="002879E0"/>
    <w:rsid w:val="00287A5C"/>
    <w:rsid w:val="0029006B"/>
    <w:rsid w:val="0029077D"/>
    <w:rsid w:val="00290AF7"/>
    <w:rsid w:val="00291016"/>
    <w:rsid w:val="00291B3A"/>
    <w:rsid w:val="00292300"/>
    <w:rsid w:val="00292815"/>
    <w:rsid w:val="00292962"/>
    <w:rsid w:val="002934BF"/>
    <w:rsid w:val="00293529"/>
    <w:rsid w:val="00293A75"/>
    <w:rsid w:val="00293A77"/>
    <w:rsid w:val="00294BE5"/>
    <w:rsid w:val="00295294"/>
    <w:rsid w:val="002954DB"/>
    <w:rsid w:val="00295C32"/>
    <w:rsid w:val="00295FAA"/>
    <w:rsid w:val="00296C0C"/>
    <w:rsid w:val="00297B1E"/>
    <w:rsid w:val="002A05CA"/>
    <w:rsid w:val="002A0963"/>
    <w:rsid w:val="002A0BD6"/>
    <w:rsid w:val="002A105D"/>
    <w:rsid w:val="002A121F"/>
    <w:rsid w:val="002A14AE"/>
    <w:rsid w:val="002A159E"/>
    <w:rsid w:val="002A21A8"/>
    <w:rsid w:val="002A23EF"/>
    <w:rsid w:val="002A2CC3"/>
    <w:rsid w:val="002A2E16"/>
    <w:rsid w:val="002A3F12"/>
    <w:rsid w:val="002A56E3"/>
    <w:rsid w:val="002A5A6D"/>
    <w:rsid w:val="002A79A5"/>
    <w:rsid w:val="002A7D84"/>
    <w:rsid w:val="002B155B"/>
    <w:rsid w:val="002B18B2"/>
    <w:rsid w:val="002B1F0D"/>
    <w:rsid w:val="002B207F"/>
    <w:rsid w:val="002B21F0"/>
    <w:rsid w:val="002B25D3"/>
    <w:rsid w:val="002B26F8"/>
    <w:rsid w:val="002B3E2B"/>
    <w:rsid w:val="002B4B77"/>
    <w:rsid w:val="002B4CAF"/>
    <w:rsid w:val="002B4DFC"/>
    <w:rsid w:val="002B5429"/>
    <w:rsid w:val="002B5540"/>
    <w:rsid w:val="002B60F4"/>
    <w:rsid w:val="002B62DD"/>
    <w:rsid w:val="002B6424"/>
    <w:rsid w:val="002B6970"/>
    <w:rsid w:val="002B6978"/>
    <w:rsid w:val="002B7BF1"/>
    <w:rsid w:val="002C07CB"/>
    <w:rsid w:val="002C0C60"/>
    <w:rsid w:val="002C0F3F"/>
    <w:rsid w:val="002C18BD"/>
    <w:rsid w:val="002C1938"/>
    <w:rsid w:val="002C1DA5"/>
    <w:rsid w:val="002C1DAB"/>
    <w:rsid w:val="002C2155"/>
    <w:rsid w:val="002C275E"/>
    <w:rsid w:val="002C34FF"/>
    <w:rsid w:val="002C37E1"/>
    <w:rsid w:val="002C3CE6"/>
    <w:rsid w:val="002C42DB"/>
    <w:rsid w:val="002C45E6"/>
    <w:rsid w:val="002C523D"/>
    <w:rsid w:val="002C6654"/>
    <w:rsid w:val="002C713A"/>
    <w:rsid w:val="002C754F"/>
    <w:rsid w:val="002C7E04"/>
    <w:rsid w:val="002D008C"/>
    <w:rsid w:val="002D0102"/>
    <w:rsid w:val="002D0872"/>
    <w:rsid w:val="002D0E49"/>
    <w:rsid w:val="002D158E"/>
    <w:rsid w:val="002D1D76"/>
    <w:rsid w:val="002D396B"/>
    <w:rsid w:val="002D3B31"/>
    <w:rsid w:val="002D3D66"/>
    <w:rsid w:val="002D449B"/>
    <w:rsid w:val="002D4CA7"/>
    <w:rsid w:val="002D52B1"/>
    <w:rsid w:val="002D56C7"/>
    <w:rsid w:val="002D654B"/>
    <w:rsid w:val="002D6985"/>
    <w:rsid w:val="002D6E77"/>
    <w:rsid w:val="002E00C1"/>
    <w:rsid w:val="002E07E2"/>
    <w:rsid w:val="002E0E0A"/>
    <w:rsid w:val="002E1269"/>
    <w:rsid w:val="002E2254"/>
    <w:rsid w:val="002E2928"/>
    <w:rsid w:val="002E2B00"/>
    <w:rsid w:val="002E4794"/>
    <w:rsid w:val="002E4C2D"/>
    <w:rsid w:val="002E4F6F"/>
    <w:rsid w:val="002E608A"/>
    <w:rsid w:val="002E6E12"/>
    <w:rsid w:val="002E6F44"/>
    <w:rsid w:val="002E73AB"/>
    <w:rsid w:val="002E7594"/>
    <w:rsid w:val="002E79D3"/>
    <w:rsid w:val="002F0695"/>
    <w:rsid w:val="002F06FC"/>
    <w:rsid w:val="002F0CB1"/>
    <w:rsid w:val="002F0CE1"/>
    <w:rsid w:val="002F0D12"/>
    <w:rsid w:val="002F1FB8"/>
    <w:rsid w:val="002F1FC1"/>
    <w:rsid w:val="002F2566"/>
    <w:rsid w:val="002F2802"/>
    <w:rsid w:val="002F2812"/>
    <w:rsid w:val="002F38C5"/>
    <w:rsid w:val="002F45A3"/>
    <w:rsid w:val="002F4F7A"/>
    <w:rsid w:val="002F5A22"/>
    <w:rsid w:val="002F6A80"/>
    <w:rsid w:val="002F6C88"/>
    <w:rsid w:val="002F7618"/>
    <w:rsid w:val="002F7D87"/>
    <w:rsid w:val="0030044D"/>
    <w:rsid w:val="00300719"/>
    <w:rsid w:val="0030094D"/>
    <w:rsid w:val="00300A34"/>
    <w:rsid w:val="00300A37"/>
    <w:rsid w:val="00300C28"/>
    <w:rsid w:val="0030129E"/>
    <w:rsid w:val="00301344"/>
    <w:rsid w:val="003026F1"/>
    <w:rsid w:val="003029AA"/>
    <w:rsid w:val="00302A71"/>
    <w:rsid w:val="00302BCC"/>
    <w:rsid w:val="0030343A"/>
    <w:rsid w:val="003037A5"/>
    <w:rsid w:val="00304939"/>
    <w:rsid w:val="00304DD1"/>
    <w:rsid w:val="00305219"/>
    <w:rsid w:val="0030521B"/>
    <w:rsid w:val="00305382"/>
    <w:rsid w:val="003056DB"/>
    <w:rsid w:val="00305785"/>
    <w:rsid w:val="003058EC"/>
    <w:rsid w:val="00305C5D"/>
    <w:rsid w:val="00306366"/>
    <w:rsid w:val="003065AA"/>
    <w:rsid w:val="00306824"/>
    <w:rsid w:val="003069A2"/>
    <w:rsid w:val="0030784B"/>
    <w:rsid w:val="00307E15"/>
    <w:rsid w:val="00307ED7"/>
    <w:rsid w:val="00307F5B"/>
    <w:rsid w:val="00307F6F"/>
    <w:rsid w:val="003100EB"/>
    <w:rsid w:val="00312BFC"/>
    <w:rsid w:val="00313140"/>
    <w:rsid w:val="003141A9"/>
    <w:rsid w:val="003145AD"/>
    <w:rsid w:val="00314642"/>
    <w:rsid w:val="003148B9"/>
    <w:rsid w:val="00314B5B"/>
    <w:rsid w:val="00314E91"/>
    <w:rsid w:val="00315C2D"/>
    <w:rsid w:val="00316144"/>
    <w:rsid w:val="00316578"/>
    <w:rsid w:val="00316775"/>
    <w:rsid w:val="00316BCD"/>
    <w:rsid w:val="003209FB"/>
    <w:rsid w:val="00320E32"/>
    <w:rsid w:val="00321AC2"/>
    <w:rsid w:val="00321FF9"/>
    <w:rsid w:val="003223C2"/>
    <w:rsid w:val="00322A0B"/>
    <w:rsid w:val="00323794"/>
    <w:rsid w:val="0032418E"/>
    <w:rsid w:val="00324881"/>
    <w:rsid w:val="00325900"/>
    <w:rsid w:val="00325E49"/>
    <w:rsid w:val="00326B1C"/>
    <w:rsid w:val="00326E46"/>
    <w:rsid w:val="0032750D"/>
    <w:rsid w:val="00327ED9"/>
    <w:rsid w:val="003303AC"/>
    <w:rsid w:val="0033062C"/>
    <w:rsid w:val="00330759"/>
    <w:rsid w:val="0033084E"/>
    <w:rsid w:val="00330F07"/>
    <w:rsid w:val="00331B0D"/>
    <w:rsid w:val="00332978"/>
    <w:rsid w:val="00332B00"/>
    <w:rsid w:val="00333087"/>
    <w:rsid w:val="00333638"/>
    <w:rsid w:val="00333AF5"/>
    <w:rsid w:val="00333EA0"/>
    <w:rsid w:val="00333F5F"/>
    <w:rsid w:val="0033409C"/>
    <w:rsid w:val="003340CA"/>
    <w:rsid w:val="003344BB"/>
    <w:rsid w:val="00334CED"/>
    <w:rsid w:val="003358D6"/>
    <w:rsid w:val="00335E75"/>
    <w:rsid w:val="00336451"/>
    <w:rsid w:val="0033686C"/>
    <w:rsid w:val="00336AA7"/>
    <w:rsid w:val="00337683"/>
    <w:rsid w:val="00337B3A"/>
    <w:rsid w:val="00340E26"/>
    <w:rsid w:val="0034284F"/>
    <w:rsid w:val="003438F1"/>
    <w:rsid w:val="003459B2"/>
    <w:rsid w:val="00346595"/>
    <w:rsid w:val="00346DB0"/>
    <w:rsid w:val="00346F88"/>
    <w:rsid w:val="003470D5"/>
    <w:rsid w:val="0034777F"/>
    <w:rsid w:val="003509B5"/>
    <w:rsid w:val="00351657"/>
    <w:rsid w:val="0035244F"/>
    <w:rsid w:val="00352878"/>
    <w:rsid w:val="003532E9"/>
    <w:rsid w:val="00353EF4"/>
    <w:rsid w:val="00354087"/>
    <w:rsid w:val="00355723"/>
    <w:rsid w:val="00355A02"/>
    <w:rsid w:val="00355BEA"/>
    <w:rsid w:val="003563EC"/>
    <w:rsid w:val="003564C6"/>
    <w:rsid w:val="0035666D"/>
    <w:rsid w:val="00356F1F"/>
    <w:rsid w:val="0035775C"/>
    <w:rsid w:val="00357D97"/>
    <w:rsid w:val="00357DE9"/>
    <w:rsid w:val="0036001A"/>
    <w:rsid w:val="00360586"/>
    <w:rsid w:val="00360F0E"/>
    <w:rsid w:val="00361A23"/>
    <w:rsid w:val="00361FA8"/>
    <w:rsid w:val="0036212D"/>
    <w:rsid w:val="0036245C"/>
    <w:rsid w:val="00362D03"/>
    <w:rsid w:val="00362DEF"/>
    <w:rsid w:val="00363054"/>
    <w:rsid w:val="003632BE"/>
    <w:rsid w:val="003635E7"/>
    <w:rsid w:val="003637AE"/>
    <w:rsid w:val="00363ECA"/>
    <w:rsid w:val="00364167"/>
    <w:rsid w:val="00364A17"/>
    <w:rsid w:val="00364FB5"/>
    <w:rsid w:val="003654CC"/>
    <w:rsid w:val="00365D99"/>
    <w:rsid w:val="003661E4"/>
    <w:rsid w:val="00366F33"/>
    <w:rsid w:val="003676E5"/>
    <w:rsid w:val="003677A4"/>
    <w:rsid w:val="00370002"/>
    <w:rsid w:val="00370249"/>
    <w:rsid w:val="00370253"/>
    <w:rsid w:val="00370ACA"/>
    <w:rsid w:val="00371073"/>
    <w:rsid w:val="003711DC"/>
    <w:rsid w:val="00371389"/>
    <w:rsid w:val="00371B83"/>
    <w:rsid w:val="003720D1"/>
    <w:rsid w:val="003738C6"/>
    <w:rsid w:val="00374169"/>
    <w:rsid w:val="0037542B"/>
    <w:rsid w:val="003754DA"/>
    <w:rsid w:val="00375784"/>
    <w:rsid w:val="0037594E"/>
    <w:rsid w:val="003759DA"/>
    <w:rsid w:val="00375D00"/>
    <w:rsid w:val="00375E66"/>
    <w:rsid w:val="00375EEE"/>
    <w:rsid w:val="00376165"/>
    <w:rsid w:val="003761FA"/>
    <w:rsid w:val="00377B9E"/>
    <w:rsid w:val="0038040F"/>
    <w:rsid w:val="003804D9"/>
    <w:rsid w:val="00380D89"/>
    <w:rsid w:val="00380ED2"/>
    <w:rsid w:val="00380F10"/>
    <w:rsid w:val="00381399"/>
    <w:rsid w:val="003817C6"/>
    <w:rsid w:val="003819B7"/>
    <w:rsid w:val="00381D26"/>
    <w:rsid w:val="00382F5C"/>
    <w:rsid w:val="003830C3"/>
    <w:rsid w:val="0038331D"/>
    <w:rsid w:val="00384F62"/>
    <w:rsid w:val="0038525F"/>
    <w:rsid w:val="0038544E"/>
    <w:rsid w:val="00385546"/>
    <w:rsid w:val="00385A50"/>
    <w:rsid w:val="00385F21"/>
    <w:rsid w:val="003873DA"/>
    <w:rsid w:val="00387DA0"/>
    <w:rsid w:val="00390080"/>
    <w:rsid w:val="0039019A"/>
    <w:rsid w:val="003905E8"/>
    <w:rsid w:val="00391111"/>
    <w:rsid w:val="003912AE"/>
    <w:rsid w:val="003919CF"/>
    <w:rsid w:val="0039227F"/>
    <w:rsid w:val="00392CB3"/>
    <w:rsid w:val="00393788"/>
    <w:rsid w:val="003937C1"/>
    <w:rsid w:val="0039421B"/>
    <w:rsid w:val="00394DAB"/>
    <w:rsid w:val="00395B65"/>
    <w:rsid w:val="003A0119"/>
    <w:rsid w:val="003A059D"/>
    <w:rsid w:val="003A09C6"/>
    <w:rsid w:val="003A2531"/>
    <w:rsid w:val="003A29B9"/>
    <w:rsid w:val="003A2BF3"/>
    <w:rsid w:val="003A2EF4"/>
    <w:rsid w:val="003A3DF5"/>
    <w:rsid w:val="003A3E22"/>
    <w:rsid w:val="003A4EFA"/>
    <w:rsid w:val="003A53A1"/>
    <w:rsid w:val="003A55F0"/>
    <w:rsid w:val="003A6008"/>
    <w:rsid w:val="003A6D9E"/>
    <w:rsid w:val="003A7283"/>
    <w:rsid w:val="003A73A3"/>
    <w:rsid w:val="003A7FDB"/>
    <w:rsid w:val="003B08F9"/>
    <w:rsid w:val="003B0B85"/>
    <w:rsid w:val="003B123E"/>
    <w:rsid w:val="003B35FF"/>
    <w:rsid w:val="003B3A70"/>
    <w:rsid w:val="003B43A6"/>
    <w:rsid w:val="003B43B4"/>
    <w:rsid w:val="003B4768"/>
    <w:rsid w:val="003B4C0D"/>
    <w:rsid w:val="003B4DC7"/>
    <w:rsid w:val="003B535F"/>
    <w:rsid w:val="003B542F"/>
    <w:rsid w:val="003B618C"/>
    <w:rsid w:val="003B631B"/>
    <w:rsid w:val="003B65F6"/>
    <w:rsid w:val="003B6EBD"/>
    <w:rsid w:val="003B7894"/>
    <w:rsid w:val="003C04C2"/>
    <w:rsid w:val="003C07D0"/>
    <w:rsid w:val="003C0B12"/>
    <w:rsid w:val="003C15C1"/>
    <w:rsid w:val="003C19A0"/>
    <w:rsid w:val="003C1A1B"/>
    <w:rsid w:val="003C1D9E"/>
    <w:rsid w:val="003C2130"/>
    <w:rsid w:val="003C22FB"/>
    <w:rsid w:val="003C27DC"/>
    <w:rsid w:val="003C29B5"/>
    <w:rsid w:val="003C31A1"/>
    <w:rsid w:val="003C3393"/>
    <w:rsid w:val="003C33D1"/>
    <w:rsid w:val="003C3EDD"/>
    <w:rsid w:val="003C4780"/>
    <w:rsid w:val="003C4933"/>
    <w:rsid w:val="003C5041"/>
    <w:rsid w:val="003C5960"/>
    <w:rsid w:val="003C5987"/>
    <w:rsid w:val="003C6310"/>
    <w:rsid w:val="003C723B"/>
    <w:rsid w:val="003C75B8"/>
    <w:rsid w:val="003C796B"/>
    <w:rsid w:val="003C7E4B"/>
    <w:rsid w:val="003D008A"/>
    <w:rsid w:val="003D1915"/>
    <w:rsid w:val="003D1BD0"/>
    <w:rsid w:val="003D1C5F"/>
    <w:rsid w:val="003D2C9E"/>
    <w:rsid w:val="003D2F08"/>
    <w:rsid w:val="003D2F38"/>
    <w:rsid w:val="003D3068"/>
    <w:rsid w:val="003D30BA"/>
    <w:rsid w:val="003D30E2"/>
    <w:rsid w:val="003D395A"/>
    <w:rsid w:val="003D3A62"/>
    <w:rsid w:val="003D3F16"/>
    <w:rsid w:val="003D4760"/>
    <w:rsid w:val="003D54E4"/>
    <w:rsid w:val="003D5D96"/>
    <w:rsid w:val="003D7104"/>
    <w:rsid w:val="003E00F6"/>
    <w:rsid w:val="003E0BDA"/>
    <w:rsid w:val="003E0C70"/>
    <w:rsid w:val="003E0F13"/>
    <w:rsid w:val="003E0F77"/>
    <w:rsid w:val="003E194F"/>
    <w:rsid w:val="003E2096"/>
    <w:rsid w:val="003E21BC"/>
    <w:rsid w:val="003E3226"/>
    <w:rsid w:val="003E3238"/>
    <w:rsid w:val="003E3607"/>
    <w:rsid w:val="003E3765"/>
    <w:rsid w:val="003E3A2E"/>
    <w:rsid w:val="003E3AA8"/>
    <w:rsid w:val="003E4623"/>
    <w:rsid w:val="003E4831"/>
    <w:rsid w:val="003E4AEE"/>
    <w:rsid w:val="003E4BC5"/>
    <w:rsid w:val="003E4C5E"/>
    <w:rsid w:val="003E5255"/>
    <w:rsid w:val="003E5A33"/>
    <w:rsid w:val="003E5B8F"/>
    <w:rsid w:val="003E5FB0"/>
    <w:rsid w:val="003E61D3"/>
    <w:rsid w:val="003E6E96"/>
    <w:rsid w:val="003E6F91"/>
    <w:rsid w:val="003F06A0"/>
    <w:rsid w:val="003F09E0"/>
    <w:rsid w:val="003F0A19"/>
    <w:rsid w:val="003F1033"/>
    <w:rsid w:val="003F1E10"/>
    <w:rsid w:val="003F2679"/>
    <w:rsid w:val="003F2986"/>
    <w:rsid w:val="003F2B09"/>
    <w:rsid w:val="003F34FE"/>
    <w:rsid w:val="003F360E"/>
    <w:rsid w:val="003F38E9"/>
    <w:rsid w:val="003F39E4"/>
    <w:rsid w:val="003F3C21"/>
    <w:rsid w:val="003F3EDD"/>
    <w:rsid w:val="003F3FEE"/>
    <w:rsid w:val="003F4018"/>
    <w:rsid w:val="003F46AE"/>
    <w:rsid w:val="003F4748"/>
    <w:rsid w:val="003F4B3D"/>
    <w:rsid w:val="003F4E78"/>
    <w:rsid w:val="003F511D"/>
    <w:rsid w:val="003F5A33"/>
    <w:rsid w:val="003F5F84"/>
    <w:rsid w:val="003F638D"/>
    <w:rsid w:val="003F7948"/>
    <w:rsid w:val="003F7A23"/>
    <w:rsid w:val="003F7A78"/>
    <w:rsid w:val="003F7DF2"/>
    <w:rsid w:val="003F7EC2"/>
    <w:rsid w:val="00400730"/>
    <w:rsid w:val="00401E46"/>
    <w:rsid w:val="00402AB7"/>
    <w:rsid w:val="00402DCF"/>
    <w:rsid w:val="00403C0C"/>
    <w:rsid w:val="00404028"/>
    <w:rsid w:val="004041B7"/>
    <w:rsid w:val="00404626"/>
    <w:rsid w:val="00404D29"/>
    <w:rsid w:val="00404E8D"/>
    <w:rsid w:val="0040513A"/>
    <w:rsid w:val="00405191"/>
    <w:rsid w:val="00405C0C"/>
    <w:rsid w:val="00406077"/>
    <w:rsid w:val="004077E1"/>
    <w:rsid w:val="004079E2"/>
    <w:rsid w:val="004102E9"/>
    <w:rsid w:val="00410B30"/>
    <w:rsid w:val="00410E9B"/>
    <w:rsid w:val="00410F03"/>
    <w:rsid w:val="00411161"/>
    <w:rsid w:val="00411847"/>
    <w:rsid w:val="00412CD7"/>
    <w:rsid w:val="00413503"/>
    <w:rsid w:val="00413FB7"/>
    <w:rsid w:val="00414166"/>
    <w:rsid w:val="004149CE"/>
    <w:rsid w:val="00414F0C"/>
    <w:rsid w:val="004161C8"/>
    <w:rsid w:val="00416352"/>
    <w:rsid w:val="004168EE"/>
    <w:rsid w:val="00417063"/>
    <w:rsid w:val="004175B7"/>
    <w:rsid w:val="00417992"/>
    <w:rsid w:val="00417B66"/>
    <w:rsid w:val="00417E13"/>
    <w:rsid w:val="004205EB"/>
    <w:rsid w:val="004206EF"/>
    <w:rsid w:val="00421027"/>
    <w:rsid w:val="00421105"/>
    <w:rsid w:val="004218A6"/>
    <w:rsid w:val="00421AB8"/>
    <w:rsid w:val="004222BC"/>
    <w:rsid w:val="00422641"/>
    <w:rsid w:val="00422998"/>
    <w:rsid w:val="00422F42"/>
    <w:rsid w:val="00423FDE"/>
    <w:rsid w:val="00424260"/>
    <w:rsid w:val="00424B13"/>
    <w:rsid w:val="00425200"/>
    <w:rsid w:val="0042537D"/>
    <w:rsid w:val="00425BC7"/>
    <w:rsid w:val="00425C56"/>
    <w:rsid w:val="004269BE"/>
    <w:rsid w:val="00431315"/>
    <w:rsid w:val="00432E0F"/>
    <w:rsid w:val="004331F0"/>
    <w:rsid w:val="00433C34"/>
    <w:rsid w:val="00433C3D"/>
    <w:rsid w:val="00433E02"/>
    <w:rsid w:val="00433F65"/>
    <w:rsid w:val="00434302"/>
    <w:rsid w:val="00434549"/>
    <w:rsid w:val="004345F2"/>
    <w:rsid w:val="004347A5"/>
    <w:rsid w:val="004352F5"/>
    <w:rsid w:val="0043543C"/>
    <w:rsid w:val="00435B1E"/>
    <w:rsid w:val="00435B23"/>
    <w:rsid w:val="00435C32"/>
    <w:rsid w:val="00436190"/>
    <w:rsid w:val="00436563"/>
    <w:rsid w:val="00437240"/>
    <w:rsid w:val="00437D4D"/>
    <w:rsid w:val="0044071F"/>
    <w:rsid w:val="00440DD7"/>
    <w:rsid w:val="00440FFE"/>
    <w:rsid w:val="00441037"/>
    <w:rsid w:val="0044179A"/>
    <w:rsid w:val="004424BD"/>
    <w:rsid w:val="00442613"/>
    <w:rsid w:val="00442A86"/>
    <w:rsid w:val="00442DE0"/>
    <w:rsid w:val="0044312B"/>
    <w:rsid w:val="00444922"/>
    <w:rsid w:val="00444932"/>
    <w:rsid w:val="004452F4"/>
    <w:rsid w:val="00445D7F"/>
    <w:rsid w:val="00445DA2"/>
    <w:rsid w:val="00445EE4"/>
    <w:rsid w:val="0044648B"/>
    <w:rsid w:val="00446850"/>
    <w:rsid w:val="00446C6F"/>
    <w:rsid w:val="00447237"/>
    <w:rsid w:val="0045135C"/>
    <w:rsid w:val="00451679"/>
    <w:rsid w:val="00451A58"/>
    <w:rsid w:val="00451DF1"/>
    <w:rsid w:val="00452EBF"/>
    <w:rsid w:val="00452FA1"/>
    <w:rsid w:val="00453707"/>
    <w:rsid w:val="00454BC9"/>
    <w:rsid w:val="00454E5D"/>
    <w:rsid w:val="00454EA5"/>
    <w:rsid w:val="00454F88"/>
    <w:rsid w:val="0045522C"/>
    <w:rsid w:val="00455757"/>
    <w:rsid w:val="004566E5"/>
    <w:rsid w:val="00456F0E"/>
    <w:rsid w:val="00457215"/>
    <w:rsid w:val="0045734D"/>
    <w:rsid w:val="00457B58"/>
    <w:rsid w:val="00460B7F"/>
    <w:rsid w:val="004610C9"/>
    <w:rsid w:val="0046125F"/>
    <w:rsid w:val="004612F0"/>
    <w:rsid w:val="00461357"/>
    <w:rsid w:val="00461596"/>
    <w:rsid w:val="00461E0E"/>
    <w:rsid w:val="00461E83"/>
    <w:rsid w:val="00462EC7"/>
    <w:rsid w:val="00462F24"/>
    <w:rsid w:val="00464247"/>
    <w:rsid w:val="00464CE2"/>
    <w:rsid w:val="00464E75"/>
    <w:rsid w:val="00465C71"/>
    <w:rsid w:val="00465CB4"/>
    <w:rsid w:val="004664AE"/>
    <w:rsid w:val="00466AE1"/>
    <w:rsid w:val="00466D03"/>
    <w:rsid w:val="00467816"/>
    <w:rsid w:val="00467EE6"/>
    <w:rsid w:val="00467F38"/>
    <w:rsid w:val="0047014F"/>
    <w:rsid w:val="00470409"/>
    <w:rsid w:val="0047089E"/>
    <w:rsid w:val="004708E9"/>
    <w:rsid w:val="00471849"/>
    <w:rsid w:val="00471890"/>
    <w:rsid w:val="00471A01"/>
    <w:rsid w:val="00471A5E"/>
    <w:rsid w:val="004722E9"/>
    <w:rsid w:val="00472BD6"/>
    <w:rsid w:val="00472CBC"/>
    <w:rsid w:val="00472ED9"/>
    <w:rsid w:val="00473513"/>
    <w:rsid w:val="004737FF"/>
    <w:rsid w:val="00473A25"/>
    <w:rsid w:val="00473B48"/>
    <w:rsid w:val="00474058"/>
    <w:rsid w:val="00474240"/>
    <w:rsid w:val="0047433C"/>
    <w:rsid w:val="004745D3"/>
    <w:rsid w:val="004746B3"/>
    <w:rsid w:val="00474CA6"/>
    <w:rsid w:val="00474CE3"/>
    <w:rsid w:val="00474D96"/>
    <w:rsid w:val="004757F6"/>
    <w:rsid w:val="00475F8A"/>
    <w:rsid w:val="00476175"/>
    <w:rsid w:val="0047669B"/>
    <w:rsid w:val="00476750"/>
    <w:rsid w:val="00477994"/>
    <w:rsid w:val="00480AE3"/>
    <w:rsid w:val="004810DD"/>
    <w:rsid w:val="00481305"/>
    <w:rsid w:val="0048168F"/>
    <w:rsid w:val="0048183D"/>
    <w:rsid w:val="00481D47"/>
    <w:rsid w:val="00481E26"/>
    <w:rsid w:val="004823DB"/>
    <w:rsid w:val="00482DA7"/>
    <w:rsid w:val="004833F4"/>
    <w:rsid w:val="00483E35"/>
    <w:rsid w:val="00485217"/>
    <w:rsid w:val="00485BE2"/>
    <w:rsid w:val="00486796"/>
    <w:rsid w:val="00486944"/>
    <w:rsid w:val="004879AA"/>
    <w:rsid w:val="00487BB7"/>
    <w:rsid w:val="00487CBB"/>
    <w:rsid w:val="00490059"/>
    <w:rsid w:val="00490103"/>
    <w:rsid w:val="00490DC5"/>
    <w:rsid w:val="0049116A"/>
    <w:rsid w:val="004912AC"/>
    <w:rsid w:val="00492683"/>
    <w:rsid w:val="004926AA"/>
    <w:rsid w:val="00493869"/>
    <w:rsid w:val="00493D03"/>
    <w:rsid w:val="00494067"/>
    <w:rsid w:val="00494E75"/>
    <w:rsid w:val="004955AB"/>
    <w:rsid w:val="00495711"/>
    <w:rsid w:val="00496451"/>
    <w:rsid w:val="0049658D"/>
    <w:rsid w:val="00496E41"/>
    <w:rsid w:val="0049701F"/>
    <w:rsid w:val="0049762F"/>
    <w:rsid w:val="004976A9"/>
    <w:rsid w:val="004A009A"/>
    <w:rsid w:val="004A0578"/>
    <w:rsid w:val="004A072E"/>
    <w:rsid w:val="004A0C46"/>
    <w:rsid w:val="004A12A1"/>
    <w:rsid w:val="004A1682"/>
    <w:rsid w:val="004A1EC2"/>
    <w:rsid w:val="004A2881"/>
    <w:rsid w:val="004A33CB"/>
    <w:rsid w:val="004A4276"/>
    <w:rsid w:val="004A570F"/>
    <w:rsid w:val="004A62B9"/>
    <w:rsid w:val="004A6B38"/>
    <w:rsid w:val="004A7857"/>
    <w:rsid w:val="004B02C0"/>
    <w:rsid w:val="004B0EC7"/>
    <w:rsid w:val="004B140F"/>
    <w:rsid w:val="004B2544"/>
    <w:rsid w:val="004B303A"/>
    <w:rsid w:val="004B363A"/>
    <w:rsid w:val="004B3653"/>
    <w:rsid w:val="004B380E"/>
    <w:rsid w:val="004B3A46"/>
    <w:rsid w:val="004B425A"/>
    <w:rsid w:val="004B5020"/>
    <w:rsid w:val="004B5B3F"/>
    <w:rsid w:val="004B6425"/>
    <w:rsid w:val="004B6587"/>
    <w:rsid w:val="004B6F93"/>
    <w:rsid w:val="004B7C0B"/>
    <w:rsid w:val="004B7FC5"/>
    <w:rsid w:val="004C0DDE"/>
    <w:rsid w:val="004C219F"/>
    <w:rsid w:val="004C3FF0"/>
    <w:rsid w:val="004C54B9"/>
    <w:rsid w:val="004C66E4"/>
    <w:rsid w:val="004C72C9"/>
    <w:rsid w:val="004C7CBC"/>
    <w:rsid w:val="004D0750"/>
    <w:rsid w:val="004D1808"/>
    <w:rsid w:val="004D1EDF"/>
    <w:rsid w:val="004D225A"/>
    <w:rsid w:val="004D2BD4"/>
    <w:rsid w:val="004D35B1"/>
    <w:rsid w:val="004D43CA"/>
    <w:rsid w:val="004D4DF3"/>
    <w:rsid w:val="004D5046"/>
    <w:rsid w:val="004D55B0"/>
    <w:rsid w:val="004D5AFA"/>
    <w:rsid w:val="004D5D03"/>
    <w:rsid w:val="004D5F1F"/>
    <w:rsid w:val="004D6156"/>
    <w:rsid w:val="004D759C"/>
    <w:rsid w:val="004D7640"/>
    <w:rsid w:val="004D7D1C"/>
    <w:rsid w:val="004E0F8E"/>
    <w:rsid w:val="004E2B68"/>
    <w:rsid w:val="004E2D80"/>
    <w:rsid w:val="004E375D"/>
    <w:rsid w:val="004E42B7"/>
    <w:rsid w:val="004E4A28"/>
    <w:rsid w:val="004E4D10"/>
    <w:rsid w:val="004E4D11"/>
    <w:rsid w:val="004E4EE4"/>
    <w:rsid w:val="004E4F87"/>
    <w:rsid w:val="004E53CD"/>
    <w:rsid w:val="004E5886"/>
    <w:rsid w:val="004E6728"/>
    <w:rsid w:val="004E6766"/>
    <w:rsid w:val="004E764D"/>
    <w:rsid w:val="004E7A47"/>
    <w:rsid w:val="004E7B5E"/>
    <w:rsid w:val="004F000E"/>
    <w:rsid w:val="004F05F6"/>
    <w:rsid w:val="004F078D"/>
    <w:rsid w:val="004F085B"/>
    <w:rsid w:val="004F1633"/>
    <w:rsid w:val="004F1678"/>
    <w:rsid w:val="004F2309"/>
    <w:rsid w:val="004F2936"/>
    <w:rsid w:val="004F3503"/>
    <w:rsid w:val="004F4B06"/>
    <w:rsid w:val="004F4BDE"/>
    <w:rsid w:val="004F4E3E"/>
    <w:rsid w:val="004F5648"/>
    <w:rsid w:val="004F58DD"/>
    <w:rsid w:val="004F752F"/>
    <w:rsid w:val="004F79EF"/>
    <w:rsid w:val="004F7CD7"/>
    <w:rsid w:val="005008C5"/>
    <w:rsid w:val="00501247"/>
    <w:rsid w:val="00501319"/>
    <w:rsid w:val="00502223"/>
    <w:rsid w:val="005027EA"/>
    <w:rsid w:val="00502C1D"/>
    <w:rsid w:val="00502DD6"/>
    <w:rsid w:val="00502F78"/>
    <w:rsid w:val="005032AE"/>
    <w:rsid w:val="005045D9"/>
    <w:rsid w:val="00505434"/>
    <w:rsid w:val="005058D4"/>
    <w:rsid w:val="00505E9E"/>
    <w:rsid w:val="005064B4"/>
    <w:rsid w:val="00506BBC"/>
    <w:rsid w:val="00506EAC"/>
    <w:rsid w:val="00507106"/>
    <w:rsid w:val="005072C6"/>
    <w:rsid w:val="00507364"/>
    <w:rsid w:val="005077AF"/>
    <w:rsid w:val="00507895"/>
    <w:rsid w:val="00507CD5"/>
    <w:rsid w:val="005108CC"/>
    <w:rsid w:val="00510CE5"/>
    <w:rsid w:val="005116DF"/>
    <w:rsid w:val="00512291"/>
    <w:rsid w:val="005123B7"/>
    <w:rsid w:val="00512480"/>
    <w:rsid w:val="005125CD"/>
    <w:rsid w:val="00512C64"/>
    <w:rsid w:val="00513AC6"/>
    <w:rsid w:val="00514B2F"/>
    <w:rsid w:val="0051503F"/>
    <w:rsid w:val="005162ED"/>
    <w:rsid w:val="005162FE"/>
    <w:rsid w:val="00516457"/>
    <w:rsid w:val="0051658D"/>
    <w:rsid w:val="00517821"/>
    <w:rsid w:val="005205E3"/>
    <w:rsid w:val="00521331"/>
    <w:rsid w:val="0052158D"/>
    <w:rsid w:val="005219EA"/>
    <w:rsid w:val="00521BE5"/>
    <w:rsid w:val="00521C53"/>
    <w:rsid w:val="00523DD4"/>
    <w:rsid w:val="00524073"/>
    <w:rsid w:val="0052479B"/>
    <w:rsid w:val="00526702"/>
    <w:rsid w:val="0052688D"/>
    <w:rsid w:val="00526B51"/>
    <w:rsid w:val="0052709B"/>
    <w:rsid w:val="00527179"/>
    <w:rsid w:val="00527B6E"/>
    <w:rsid w:val="005300EE"/>
    <w:rsid w:val="00530196"/>
    <w:rsid w:val="00531062"/>
    <w:rsid w:val="00531B3C"/>
    <w:rsid w:val="00532272"/>
    <w:rsid w:val="005328D0"/>
    <w:rsid w:val="00532C02"/>
    <w:rsid w:val="00533636"/>
    <w:rsid w:val="005336B6"/>
    <w:rsid w:val="00534012"/>
    <w:rsid w:val="00534765"/>
    <w:rsid w:val="00534777"/>
    <w:rsid w:val="00534BE0"/>
    <w:rsid w:val="00535528"/>
    <w:rsid w:val="00535534"/>
    <w:rsid w:val="005364DD"/>
    <w:rsid w:val="00536852"/>
    <w:rsid w:val="00537455"/>
    <w:rsid w:val="00537527"/>
    <w:rsid w:val="00537578"/>
    <w:rsid w:val="0053791B"/>
    <w:rsid w:val="00537950"/>
    <w:rsid w:val="00537B48"/>
    <w:rsid w:val="0054022B"/>
    <w:rsid w:val="005405CE"/>
    <w:rsid w:val="005405FE"/>
    <w:rsid w:val="005408EC"/>
    <w:rsid w:val="00540E55"/>
    <w:rsid w:val="00541C46"/>
    <w:rsid w:val="005429A7"/>
    <w:rsid w:val="00542C92"/>
    <w:rsid w:val="00543213"/>
    <w:rsid w:val="0054333C"/>
    <w:rsid w:val="0054380F"/>
    <w:rsid w:val="00543F3E"/>
    <w:rsid w:val="005447AA"/>
    <w:rsid w:val="00544826"/>
    <w:rsid w:val="00544955"/>
    <w:rsid w:val="00544A3F"/>
    <w:rsid w:val="00544B68"/>
    <w:rsid w:val="00544C72"/>
    <w:rsid w:val="00544D18"/>
    <w:rsid w:val="0054536A"/>
    <w:rsid w:val="0054580D"/>
    <w:rsid w:val="00545E4A"/>
    <w:rsid w:val="00546E1D"/>
    <w:rsid w:val="00547216"/>
    <w:rsid w:val="005475C0"/>
    <w:rsid w:val="005475C9"/>
    <w:rsid w:val="00547810"/>
    <w:rsid w:val="00547BB6"/>
    <w:rsid w:val="00547F3E"/>
    <w:rsid w:val="005504C4"/>
    <w:rsid w:val="00550DBC"/>
    <w:rsid w:val="00550E88"/>
    <w:rsid w:val="005514D4"/>
    <w:rsid w:val="0055151F"/>
    <w:rsid w:val="005516E3"/>
    <w:rsid w:val="0055185F"/>
    <w:rsid w:val="0055200A"/>
    <w:rsid w:val="00552759"/>
    <w:rsid w:val="00553014"/>
    <w:rsid w:val="00553203"/>
    <w:rsid w:val="0055325A"/>
    <w:rsid w:val="005534FE"/>
    <w:rsid w:val="0055358F"/>
    <w:rsid w:val="00553677"/>
    <w:rsid w:val="00554245"/>
    <w:rsid w:val="0055461A"/>
    <w:rsid w:val="005549D2"/>
    <w:rsid w:val="00554EC9"/>
    <w:rsid w:val="00555011"/>
    <w:rsid w:val="00555123"/>
    <w:rsid w:val="0055596F"/>
    <w:rsid w:val="005564E4"/>
    <w:rsid w:val="005566AF"/>
    <w:rsid w:val="005568BF"/>
    <w:rsid w:val="00556CF3"/>
    <w:rsid w:val="0055715E"/>
    <w:rsid w:val="0055780E"/>
    <w:rsid w:val="00557984"/>
    <w:rsid w:val="005601F4"/>
    <w:rsid w:val="005602C2"/>
    <w:rsid w:val="00560DFC"/>
    <w:rsid w:val="00561151"/>
    <w:rsid w:val="005622A4"/>
    <w:rsid w:val="00563201"/>
    <w:rsid w:val="00563A09"/>
    <w:rsid w:val="005644F1"/>
    <w:rsid w:val="00565102"/>
    <w:rsid w:val="0056595B"/>
    <w:rsid w:val="00566552"/>
    <w:rsid w:val="00566848"/>
    <w:rsid w:val="00566F26"/>
    <w:rsid w:val="00566FF1"/>
    <w:rsid w:val="00567061"/>
    <w:rsid w:val="0056725F"/>
    <w:rsid w:val="005676AF"/>
    <w:rsid w:val="005702BA"/>
    <w:rsid w:val="0057098D"/>
    <w:rsid w:val="00571752"/>
    <w:rsid w:val="00573191"/>
    <w:rsid w:val="00573337"/>
    <w:rsid w:val="0057359B"/>
    <w:rsid w:val="005737B0"/>
    <w:rsid w:val="00573AAC"/>
    <w:rsid w:val="005741F1"/>
    <w:rsid w:val="005747CF"/>
    <w:rsid w:val="00574F48"/>
    <w:rsid w:val="00575789"/>
    <w:rsid w:val="00575EF0"/>
    <w:rsid w:val="00576C8F"/>
    <w:rsid w:val="005772AB"/>
    <w:rsid w:val="00577561"/>
    <w:rsid w:val="00580459"/>
    <w:rsid w:val="00580980"/>
    <w:rsid w:val="00580EB6"/>
    <w:rsid w:val="00581297"/>
    <w:rsid w:val="005816C3"/>
    <w:rsid w:val="005819A8"/>
    <w:rsid w:val="00581ADA"/>
    <w:rsid w:val="00581D7C"/>
    <w:rsid w:val="00582AEB"/>
    <w:rsid w:val="00582E92"/>
    <w:rsid w:val="00583236"/>
    <w:rsid w:val="0058368E"/>
    <w:rsid w:val="005838DC"/>
    <w:rsid w:val="00583C1D"/>
    <w:rsid w:val="00583D3F"/>
    <w:rsid w:val="0058427A"/>
    <w:rsid w:val="00585D8F"/>
    <w:rsid w:val="0058614E"/>
    <w:rsid w:val="005862E5"/>
    <w:rsid w:val="00586802"/>
    <w:rsid w:val="005870D3"/>
    <w:rsid w:val="00587299"/>
    <w:rsid w:val="00590A4C"/>
    <w:rsid w:val="00590EEF"/>
    <w:rsid w:val="00590F0E"/>
    <w:rsid w:val="0059158E"/>
    <w:rsid w:val="00591AAE"/>
    <w:rsid w:val="005920EF"/>
    <w:rsid w:val="005924D4"/>
    <w:rsid w:val="00593C2F"/>
    <w:rsid w:val="00593FA2"/>
    <w:rsid w:val="00594154"/>
    <w:rsid w:val="00594160"/>
    <w:rsid w:val="00594428"/>
    <w:rsid w:val="005948BD"/>
    <w:rsid w:val="0059497A"/>
    <w:rsid w:val="005950A8"/>
    <w:rsid w:val="005959CC"/>
    <w:rsid w:val="005968C9"/>
    <w:rsid w:val="00596B48"/>
    <w:rsid w:val="005A06E5"/>
    <w:rsid w:val="005A12EC"/>
    <w:rsid w:val="005A20F6"/>
    <w:rsid w:val="005A22CE"/>
    <w:rsid w:val="005A2567"/>
    <w:rsid w:val="005A33A4"/>
    <w:rsid w:val="005A3F54"/>
    <w:rsid w:val="005A45E1"/>
    <w:rsid w:val="005A4D7D"/>
    <w:rsid w:val="005A5AC0"/>
    <w:rsid w:val="005A5EC0"/>
    <w:rsid w:val="005A619E"/>
    <w:rsid w:val="005A69B7"/>
    <w:rsid w:val="005A6C87"/>
    <w:rsid w:val="005A7B24"/>
    <w:rsid w:val="005B03CC"/>
    <w:rsid w:val="005B06A5"/>
    <w:rsid w:val="005B07CB"/>
    <w:rsid w:val="005B09A8"/>
    <w:rsid w:val="005B09CD"/>
    <w:rsid w:val="005B0CE8"/>
    <w:rsid w:val="005B1753"/>
    <w:rsid w:val="005B2950"/>
    <w:rsid w:val="005B2AA7"/>
    <w:rsid w:val="005B36B5"/>
    <w:rsid w:val="005B3724"/>
    <w:rsid w:val="005B3BAC"/>
    <w:rsid w:val="005B4117"/>
    <w:rsid w:val="005B4AE0"/>
    <w:rsid w:val="005B6006"/>
    <w:rsid w:val="005B67DC"/>
    <w:rsid w:val="005B71A9"/>
    <w:rsid w:val="005B71FE"/>
    <w:rsid w:val="005C10DF"/>
    <w:rsid w:val="005C1649"/>
    <w:rsid w:val="005C1740"/>
    <w:rsid w:val="005C1765"/>
    <w:rsid w:val="005C2921"/>
    <w:rsid w:val="005C2ED6"/>
    <w:rsid w:val="005C2FC5"/>
    <w:rsid w:val="005C3C88"/>
    <w:rsid w:val="005C4BD5"/>
    <w:rsid w:val="005C4EBD"/>
    <w:rsid w:val="005C5151"/>
    <w:rsid w:val="005C572A"/>
    <w:rsid w:val="005C5ED8"/>
    <w:rsid w:val="005C648F"/>
    <w:rsid w:val="005C67C3"/>
    <w:rsid w:val="005C799F"/>
    <w:rsid w:val="005C7CD2"/>
    <w:rsid w:val="005D02F4"/>
    <w:rsid w:val="005D060B"/>
    <w:rsid w:val="005D0AAF"/>
    <w:rsid w:val="005D128B"/>
    <w:rsid w:val="005D3AFD"/>
    <w:rsid w:val="005D3DEA"/>
    <w:rsid w:val="005D4018"/>
    <w:rsid w:val="005D448B"/>
    <w:rsid w:val="005D47C7"/>
    <w:rsid w:val="005D498E"/>
    <w:rsid w:val="005D4A94"/>
    <w:rsid w:val="005D4BFB"/>
    <w:rsid w:val="005D60BD"/>
    <w:rsid w:val="005D6233"/>
    <w:rsid w:val="005D6C4B"/>
    <w:rsid w:val="005D6DFE"/>
    <w:rsid w:val="005D7641"/>
    <w:rsid w:val="005D785A"/>
    <w:rsid w:val="005E06BA"/>
    <w:rsid w:val="005E0C70"/>
    <w:rsid w:val="005E1135"/>
    <w:rsid w:val="005E125E"/>
    <w:rsid w:val="005E1474"/>
    <w:rsid w:val="005E2360"/>
    <w:rsid w:val="005E2534"/>
    <w:rsid w:val="005E25E4"/>
    <w:rsid w:val="005E25F2"/>
    <w:rsid w:val="005E2C6B"/>
    <w:rsid w:val="005E2F1E"/>
    <w:rsid w:val="005E3326"/>
    <w:rsid w:val="005E3334"/>
    <w:rsid w:val="005E39BC"/>
    <w:rsid w:val="005E3F40"/>
    <w:rsid w:val="005E4378"/>
    <w:rsid w:val="005E47CD"/>
    <w:rsid w:val="005E48CF"/>
    <w:rsid w:val="005E5B1B"/>
    <w:rsid w:val="005E60D3"/>
    <w:rsid w:val="005E7032"/>
    <w:rsid w:val="005E7210"/>
    <w:rsid w:val="005E7CA8"/>
    <w:rsid w:val="005F14FA"/>
    <w:rsid w:val="005F1714"/>
    <w:rsid w:val="005F1F79"/>
    <w:rsid w:val="005F244A"/>
    <w:rsid w:val="005F26E7"/>
    <w:rsid w:val="005F3AFD"/>
    <w:rsid w:val="005F4393"/>
    <w:rsid w:val="005F4512"/>
    <w:rsid w:val="005F4769"/>
    <w:rsid w:val="005F517E"/>
    <w:rsid w:val="005F5470"/>
    <w:rsid w:val="005F5CCE"/>
    <w:rsid w:val="005F6104"/>
    <w:rsid w:val="005F62E3"/>
    <w:rsid w:val="005F63CC"/>
    <w:rsid w:val="005F686C"/>
    <w:rsid w:val="005F6B5E"/>
    <w:rsid w:val="005F75BD"/>
    <w:rsid w:val="005F7B21"/>
    <w:rsid w:val="005F7D0F"/>
    <w:rsid w:val="006000C4"/>
    <w:rsid w:val="00600367"/>
    <w:rsid w:val="006007D9"/>
    <w:rsid w:val="00600841"/>
    <w:rsid w:val="00600F0F"/>
    <w:rsid w:val="00601E62"/>
    <w:rsid w:val="00601F5B"/>
    <w:rsid w:val="00603BEF"/>
    <w:rsid w:val="00603D1D"/>
    <w:rsid w:val="006040C9"/>
    <w:rsid w:val="00604114"/>
    <w:rsid w:val="00604934"/>
    <w:rsid w:val="00604C88"/>
    <w:rsid w:val="00604CD1"/>
    <w:rsid w:val="0060621B"/>
    <w:rsid w:val="00607068"/>
    <w:rsid w:val="0060769D"/>
    <w:rsid w:val="00607D36"/>
    <w:rsid w:val="00610B8E"/>
    <w:rsid w:val="00610EE9"/>
    <w:rsid w:val="00612BF4"/>
    <w:rsid w:val="00612E6B"/>
    <w:rsid w:val="00612F56"/>
    <w:rsid w:val="006141FA"/>
    <w:rsid w:val="0061451D"/>
    <w:rsid w:val="00614A70"/>
    <w:rsid w:val="00616675"/>
    <w:rsid w:val="006167FA"/>
    <w:rsid w:val="00616A6C"/>
    <w:rsid w:val="00616C41"/>
    <w:rsid w:val="006179D0"/>
    <w:rsid w:val="00617B98"/>
    <w:rsid w:val="00617BD5"/>
    <w:rsid w:val="00620208"/>
    <w:rsid w:val="006203A8"/>
    <w:rsid w:val="0062080A"/>
    <w:rsid w:val="006208EE"/>
    <w:rsid w:val="006209DA"/>
    <w:rsid w:val="00621747"/>
    <w:rsid w:val="00622972"/>
    <w:rsid w:val="006230BF"/>
    <w:rsid w:val="00623D6B"/>
    <w:rsid w:val="00625786"/>
    <w:rsid w:val="00626276"/>
    <w:rsid w:val="0062656F"/>
    <w:rsid w:val="00626725"/>
    <w:rsid w:val="00626B70"/>
    <w:rsid w:val="00626FD6"/>
    <w:rsid w:val="006277C1"/>
    <w:rsid w:val="006278E8"/>
    <w:rsid w:val="00630AE8"/>
    <w:rsid w:val="00630BC7"/>
    <w:rsid w:val="00630E39"/>
    <w:rsid w:val="00630FA3"/>
    <w:rsid w:val="006319E1"/>
    <w:rsid w:val="00631F20"/>
    <w:rsid w:val="00634F3A"/>
    <w:rsid w:val="00635D4D"/>
    <w:rsid w:val="006367D1"/>
    <w:rsid w:val="00636839"/>
    <w:rsid w:val="006371EB"/>
    <w:rsid w:val="006375AC"/>
    <w:rsid w:val="006376EF"/>
    <w:rsid w:val="00640088"/>
    <w:rsid w:val="00640B95"/>
    <w:rsid w:val="00640D4D"/>
    <w:rsid w:val="00641A51"/>
    <w:rsid w:val="006428C2"/>
    <w:rsid w:val="006433A7"/>
    <w:rsid w:val="00644327"/>
    <w:rsid w:val="00644846"/>
    <w:rsid w:val="00644C83"/>
    <w:rsid w:val="00645E59"/>
    <w:rsid w:val="00645E9B"/>
    <w:rsid w:val="00646076"/>
    <w:rsid w:val="0064679E"/>
    <w:rsid w:val="00646A14"/>
    <w:rsid w:val="00647C5C"/>
    <w:rsid w:val="00647EF1"/>
    <w:rsid w:val="00650314"/>
    <w:rsid w:val="006509BF"/>
    <w:rsid w:val="006511A5"/>
    <w:rsid w:val="00651475"/>
    <w:rsid w:val="006520B3"/>
    <w:rsid w:val="006523DB"/>
    <w:rsid w:val="00652C72"/>
    <w:rsid w:val="006530C7"/>
    <w:rsid w:val="0065370E"/>
    <w:rsid w:val="00653806"/>
    <w:rsid w:val="00653D61"/>
    <w:rsid w:val="00653E89"/>
    <w:rsid w:val="006545BF"/>
    <w:rsid w:val="00655092"/>
    <w:rsid w:val="00655689"/>
    <w:rsid w:val="006557CA"/>
    <w:rsid w:val="00656548"/>
    <w:rsid w:val="006568C4"/>
    <w:rsid w:val="00656A89"/>
    <w:rsid w:val="00656AFC"/>
    <w:rsid w:val="00657CF5"/>
    <w:rsid w:val="00660049"/>
    <w:rsid w:val="00660613"/>
    <w:rsid w:val="00660DFF"/>
    <w:rsid w:val="006611F0"/>
    <w:rsid w:val="006613D7"/>
    <w:rsid w:val="00661A27"/>
    <w:rsid w:val="00661CD8"/>
    <w:rsid w:val="00662420"/>
    <w:rsid w:val="006625A7"/>
    <w:rsid w:val="00662687"/>
    <w:rsid w:val="00662992"/>
    <w:rsid w:val="00663229"/>
    <w:rsid w:val="00663D2C"/>
    <w:rsid w:val="006649D7"/>
    <w:rsid w:val="00664DF2"/>
    <w:rsid w:val="00665AEA"/>
    <w:rsid w:val="006660ED"/>
    <w:rsid w:val="00666157"/>
    <w:rsid w:val="0066680C"/>
    <w:rsid w:val="006676A5"/>
    <w:rsid w:val="006677BD"/>
    <w:rsid w:val="00667858"/>
    <w:rsid w:val="00667B23"/>
    <w:rsid w:val="00670306"/>
    <w:rsid w:val="006704F4"/>
    <w:rsid w:val="0067073E"/>
    <w:rsid w:val="006708AA"/>
    <w:rsid w:val="00670C81"/>
    <w:rsid w:val="00670D03"/>
    <w:rsid w:val="00670E2D"/>
    <w:rsid w:val="00671E72"/>
    <w:rsid w:val="00673B54"/>
    <w:rsid w:val="006744A3"/>
    <w:rsid w:val="0067457B"/>
    <w:rsid w:val="00674A33"/>
    <w:rsid w:val="00674D01"/>
    <w:rsid w:val="006775A2"/>
    <w:rsid w:val="00677812"/>
    <w:rsid w:val="00677EAE"/>
    <w:rsid w:val="00677F63"/>
    <w:rsid w:val="00677FB8"/>
    <w:rsid w:val="0068028B"/>
    <w:rsid w:val="006803F7"/>
    <w:rsid w:val="00681F11"/>
    <w:rsid w:val="00682241"/>
    <w:rsid w:val="0068263F"/>
    <w:rsid w:val="00682A49"/>
    <w:rsid w:val="00682D74"/>
    <w:rsid w:val="00682FD7"/>
    <w:rsid w:val="00683090"/>
    <w:rsid w:val="006830FB"/>
    <w:rsid w:val="006832A8"/>
    <w:rsid w:val="00684528"/>
    <w:rsid w:val="006849E2"/>
    <w:rsid w:val="00684C81"/>
    <w:rsid w:val="00685970"/>
    <w:rsid w:val="00685B62"/>
    <w:rsid w:val="00685BE4"/>
    <w:rsid w:val="00685D50"/>
    <w:rsid w:val="00685D54"/>
    <w:rsid w:val="006905EE"/>
    <w:rsid w:val="0069104A"/>
    <w:rsid w:val="006912E7"/>
    <w:rsid w:val="0069194B"/>
    <w:rsid w:val="00691D77"/>
    <w:rsid w:val="00691DAF"/>
    <w:rsid w:val="00691EE5"/>
    <w:rsid w:val="00691F09"/>
    <w:rsid w:val="006922D3"/>
    <w:rsid w:val="00692FD5"/>
    <w:rsid w:val="00693349"/>
    <w:rsid w:val="00694178"/>
    <w:rsid w:val="006941E0"/>
    <w:rsid w:val="006945B5"/>
    <w:rsid w:val="0069464A"/>
    <w:rsid w:val="0069475C"/>
    <w:rsid w:val="00694A66"/>
    <w:rsid w:val="00694CE4"/>
    <w:rsid w:val="00694D83"/>
    <w:rsid w:val="006951C5"/>
    <w:rsid w:val="00696166"/>
    <w:rsid w:val="0069660D"/>
    <w:rsid w:val="0069762E"/>
    <w:rsid w:val="0069784E"/>
    <w:rsid w:val="006978C0"/>
    <w:rsid w:val="006A066C"/>
    <w:rsid w:val="006A081F"/>
    <w:rsid w:val="006A08E0"/>
    <w:rsid w:val="006A1237"/>
    <w:rsid w:val="006A1CF9"/>
    <w:rsid w:val="006A1D84"/>
    <w:rsid w:val="006A26F6"/>
    <w:rsid w:val="006A306A"/>
    <w:rsid w:val="006A415E"/>
    <w:rsid w:val="006A45A0"/>
    <w:rsid w:val="006A4F20"/>
    <w:rsid w:val="006A4FEE"/>
    <w:rsid w:val="006A696B"/>
    <w:rsid w:val="006A6A91"/>
    <w:rsid w:val="006A730E"/>
    <w:rsid w:val="006A77E7"/>
    <w:rsid w:val="006B0B8F"/>
    <w:rsid w:val="006B0ED9"/>
    <w:rsid w:val="006B0FC3"/>
    <w:rsid w:val="006B1E20"/>
    <w:rsid w:val="006B2097"/>
    <w:rsid w:val="006B215B"/>
    <w:rsid w:val="006B2488"/>
    <w:rsid w:val="006B2765"/>
    <w:rsid w:val="006B3531"/>
    <w:rsid w:val="006B35CE"/>
    <w:rsid w:val="006B386A"/>
    <w:rsid w:val="006B423B"/>
    <w:rsid w:val="006B59ED"/>
    <w:rsid w:val="006B5C55"/>
    <w:rsid w:val="006B5FCB"/>
    <w:rsid w:val="006B6369"/>
    <w:rsid w:val="006B64FE"/>
    <w:rsid w:val="006B6A88"/>
    <w:rsid w:val="006B7270"/>
    <w:rsid w:val="006B7279"/>
    <w:rsid w:val="006C0026"/>
    <w:rsid w:val="006C01FE"/>
    <w:rsid w:val="006C0240"/>
    <w:rsid w:val="006C0E7B"/>
    <w:rsid w:val="006C0F08"/>
    <w:rsid w:val="006C14E2"/>
    <w:rsid w:val="006C234D"/>
    <w:rsid w:val="006C256E"/>
    <w:rsid w:val="006C2968"/>
    <w:rsid w:val="006C43EC"/>
    <w:rsid w:val="006C4F38"/>
    <w:rsid w:val="006C5511"/>
    <w:rsid w:val="006C564E"/>
    <w:rsid w:val="006C568E"/>
    <w:rsid w:val="006C5D9D"/>
    <w:rsid w:val="006C5F22"/>
    <w:rsid w:val="006C61BB"/>
    <w:rsid w:val="006C6A98"/>
    <w:rsid w:val="006C721E"/>
    <w:rsid w:val="006C724B"/>
    <w:rsid w:val="006C7A59"/>
    <w:rsid w:val="006C7FFD"/>
    <w:rsid w:val="006D0326"/>
    <w:rsid w:val="006D06A9"/>
    <w:rsid w:val="006D16B4"/>
    <w:rsid w:val="006D1EBA"/>
    <w:rsid w:val="006D2DD0"/>
    <w:rsid w:val="006D3621"/>
    <w:rsid w:val="006D423A"/>
    <w:rsid w:val="006D4298"/>
    <w:rsid w:val="006D4618"/>
    <w:rsid w:val="006D474F"/>
    <w:rsid w:val="006D4C5E"/>
    <w:rsid w:val="006D4D5E"/>
    <w:rsid w:val="006D5609"/>
    <w:rsid w:val="006D5C72"/>
    <w:rsid w:val="006D5F89"/>
    <w:rsid w:val="006D6162"/>
    <w:rsid w:val="006D690F"/>
    <w:rsid w:val="006D7523"/>
    <w:rsid w:val="006D7ADC"/>
    <w:rsid w:val="006E0A18"/>
    <w:rsid w:val="006E0B0F"/>
    <w:rsid w:val="006E1546"/>
    <w:rsid w:val="006E156C"/>
    <w:rsid w:val="006E1F25"/>
    <w:rsid w:val="006E204B"/>
    <w:rsid w:val="006E21E2"/>
    <w:rsid w:val="006E3159"/>
    <w:rsid w:val="006E33CB"/>
    <w:rsid w:val="006E351C"/>
    <w:rsid w:val="006E3663"/>
    <w:rsid w:val="006E38F9"/>
    <w:rsid w:val="006E3C44"/>
    <w:rsid w:val="006E3F27"/>
    <w:rsid w:val="006E406C"/>
    <w:rsid w:val="006E417A"/>
    <w:rsid w:val="006E4F16"/>
    <w:rsid w:val="006E5669"/>
    <w:rsid w:val="006E5854"/>
    <w:rsid w:val="006E5A9A"/>
    <w:rsid w:val="006E5ECA"/>
    <w:rsid w:val="006E710E"/>
    <w:rsid w:val="006E7411"/>
    <w:rsid w:val="006E7442"/>
    <w:rsid w:val="006E762B"/>
    <w:rsid w:val="006F04DA"/>
    <w:rsid w:val="006F1028"/>
    <w:rsid w:val="006F15C2"/>
    <w:rsid w:val="006F198D"/>
    <w:rsid w:val="006F22DC"/>
    <w:rsid w:val="006F3AA0"/>
    <w:rsid w:val="006F47DF"/>
    <w:rsid w:val="006F4C94"/>
    <w:rsid w:val="006F536F"/>
    <w:rsid w:val="006F576E"/>
    <w:rsid w:val="006F67FF"/>
    <w:rsid w:val="006F688B"/>
    <w:rsid w:val="006F68AF"/>
    <w:rsid w:val="006F6FFA"/>
    <w:rsid w:val="006F7397"/>
    <w:rsid w:val="006F774A"/>
    <w:rsid w:val="006F7E6C"/>
    <w:rsid w:val="00700003"/>
    <w:rsid w:val="007000C5"/>
    <w:rsid w:val="007002C3"/>
    <w:rsid w:val="00700463"/>
    <w:rsid w:val="00701778"/>
    <w:rsid w:val="00701797"/>
    <w:rsid w:val="00702082"/>
    <w:rsid w:val="007020E3"/>
    <w:rsid w:val="00702A19"/>
    <w:rsid w:val="00702AAB"/>
    <w:rsid w:val="0070347E"/>
    <w:rsid w:val="007036CC"/>
    <w:rsid w:val="00703ACB"/>
    <w:rsid w:val="00703CD2"/>
    <w:rsid w:val="00704603"/>
    <w:rsid w:val="00704B84"/>
    <w:rsid w:val="007052EE"/>
    <w:rsid w:val="0070530E"/>
    <w:rsid w:val="00705420"/>
    <w:rsid w:val="00705A94"/>
    <w:rsid w:val="00705C33"/>
    <w:rsid w:val="00705ED5"/>
    <w:rsid w:val="00706283"/>
    <w:rsid w:val="007062C2"/>
    <w:rsid w:val="007063B4"/>
    <w:rsid w:val="007065A4"/>
    <w:rsid w:val="00706980"/>
    <w:rsid w:val="00706FB1"/>
    <w:rsid w:val="00707133"/>
    <w:rsid w:val="0070722F"/>
    <w:rsid w:val="00707830"/>
    <w:rsid w:val="0071036E"/>
    <w:rsid w:val="00710844"/>
    <w:rsid w:val="007114B1"/>
    <w:rsid w:val="007116B4"/>
    <w:rsid w:val="0071177D"/>
    <w:rsid w:val="0071178B"/>
    <w:rsid w:val="00711C8B"/>
    <w:rsid w:val="007120E6"/>
    <w:rsid w:val="0071262E"/>
    <w:rsid w:val="007130A7"/>
    <w:rsid w:val="00714C4A"/>
    <w:rsid w:val="0071515D"/>
    <w:rsid w:val="00715EE9"/>
    <w:rsid w:val="00715F52"/>
    <w:rsid w:val="00716006"/>
    <w:rsid w:val="00716074"/>
    <w:rsid w:val="00716712"/>
    <w:rsid w:val="00717244"/>
    <w:rsid w:val="00717267"/>
    <w:rsid w:val="00717733"/>
    <w:rsid w:val="00717D1E"/>
    <w:rsid w:val="00717DCF"/>
    <w:rsid w:val="0072001E"/>
    <w:rsid w:val="00720F37"/>
    <w:rsid w:val="0072123C"/>
    <w:rsid w:val="0072275B"/>
    <w:rsid w:val="00722820"/>
    <w:rsid w:val="00722BD3"/>
    <w:rsid w:val="0072359F"/>
    <w:rsid w:val="00723C25"/>
    <w:rsid w:val="00724CCE"/>
    <w:rsid w:val="0072520E"/>
    <w:rsid w:val="00725850"/>
    <w:rsid w:val="00725F2C"/>
    <w:rsid w:val="00726434"/>
    <w:rsid w:val="007269D4"/>
    <w:rsid w:val="007277A5"/>
    <w:rsid w:val="00727B1C"/>
    <w:rsid w:val="007307E1"/>
    <w:rsid w:val="00730B23"/>
    <w:rsid w:val="00731C67"/>
    <w:rsid w:val="00731F98"/>
    <w:rsid w:val="00732678"/>
    <w:rsid w:val="0073272C"/>
    <w:rsid w:val="00732911"/>
    <w:rsid w:val="00733225"/>
    <w:rsid w:val="00733B68"/>
    <w:rsid w:val="00733CE6"/>
    <w:rsid w:val="00734FC2"/>
    <w:rsid w:val="0073540E"/>
    <w:rsid w:val="00736074"/>
    <w:rsid w:val="00736398"/>
    <w:rsid w:val="007368DB"/>
    <w:rsid w:val="00736D3F"/>
    <w:rsid w:val="007370FC"/>
    <w:rsid w:val="0073718E"/>
    <w:rsid w:val="007375F6"/>
    <w:rsid w:val="00737C45"/>
    <w:rsid w:val="00741045"/>
    <w:rsid w:val="00741B65"/>
    <w:rsid w:val="0074212A"/>
    <w:rsid w:val="00743411"/>
    <w:rsid w:val="007447DA"/>
    <w:rsid w:val="007447EF"/>
    <w:rsid w:val="00744FD7"/>
    <w:rsid w:val="00745D7D"/>
    <w:rsid w:val="00747908"/>
    <w:rsid w:val="00747C5E"/>
    <w:rsid w:val="007504F2"/>
    <w:rsid w:val="0075102A"/>
    <w:rsid w:val="00752309"/>
    <w:rsid w:val="0075276A"/>
    <w:rsid w:val="00752BF4"/>
    <w:rsid w:val="00753034"/>
    <w:rsid w:val="00753889"/>
    <w:rsid w:val="007539DA"/>
    <w:rsid w:val="007543EB"/>
    <w:rsid w:val="007544FE"/>
    <w:rsid w:val="00755249"/>
    <w:rsid w:val="00755501"/>
    <w:rsid w:val="007558E5"/>
    <w:rsid w:val="00755DB0"/>
    <w:rsid w:val="0075622E"/>
    <w:rsid w:val="00756253"/>
    <w:rsid w:val="00756956"/>
    <w:rsid w:val="007569B9"/>
    <w:rsid w:val="007569D8"/>
    <w:rsid w:val="00756D8D"/>
    <w:rsid w:val="00757840"/>
    <w:rsid w:val="00757AC7"/>
    <w:rsid w:val="007608C3"/>
    <w:rsid w:val="00760CD5"/>
    <w:rsid w:val="00760CE5"/>
    <w:rsid w:val="00761766"/>
    <w:rsid w:val="007624ED"/>
    <w:rsid w:val="007627A6"/>
    <w:rsid w:val="007636FF"/>
    <w:rsid w:val="007642E8"/>
    <w:rsid w:val="00764646"/>
    <w:rsid w:val="00765E19"/>
    <w:rsid w:val="007662C0"/>
    <w:rsid w:val="00766B94"/>
    <w:rsid w:val="00766CA6"/>
    <w:rsid w:val="0076780F"/>
    <w:rsid w:val="00770A74"/>
    <w:rsid w:val="0077152A"/>
    <w:rsid w:val="007718B7"/>
    <w:rsid w:val="00771A79"/>
    <w:rsid w:val="00771FAC"/>
    <w:rsid w:val="00772420"/>
    <w:rsid w:val="0077262E"/>
    <w:rsid w:val="00772950"/>
    <w:rsid w:val="007731EA"/>
    <w:rsid w:val="00773343"/>
    <w:rsid w:val="00775491"/>
    <w:rsid w:val="007756F2"/>
    <w:rsid w:val="007764A6"/>
    <w:rsid w:val="0077674A"/>
    <w:rsid w:val="007771B3"/>
    <w:rsid w:val="0077744F"/>
    <w:rsid w:val="0077753F"/>
    <w:rsid w:val="00777653"/>
    <w:rsid w:val="00777B74"/>
    <w:rsid w:val="00777CC0"/>
    <w:rsid w:val="00777CE4"/>
    <w:rsid w:val="00780135"/>
    <w:rsid w:val="007801EC"/>
    <w:rsid w:val="00780264"/>
    <w:rsid w:val="00780C2D"/>
    <w:rsid w:val="00781062"/>
    <w:rsid w:val="007811F2"/>
    <w:rsid w:val="007815D3"/>
    <w:rsid w:val="007816D0"/>
    <w:rsid w:val="00781910"/>
    <w:rsid w:val="00781A11"/>
    <w:rsid w:val="00781AA5"/>
    <w:rsid w:val="00781E27"/>
    <w:rsid w:val="00782180"/>
    <w:rsid w:val="007832B3"/>
    <w:rsid w:val="00783429"/>
    <w:rsid w:val="00783454"/>
    <w:rsid w:val="007847A1"/>
    <w:rsid w:val="00785089"/>
    <w:rsid w:val="00786A95"/>
    <w:rsid w:val="0078732E"/>
    <w:rsid w:val="0078777A"/>
    <w:rsid w:val="007877C4"/>
    <w:rsid w:val="00787AFB"/>
    <w:rsid w:val="00787DC7"/>
    <w:rsid w:val="00790CC0"/>
    <w:rsid w:val="00791152"/>
    <w:rsid w:val="007914A2"/>
    <w:rsid w:val="00791BC8"/>
    <w:rsid w:val="00791DA5"/>
    <w:rsid w:val="00792901"/>
    <w:rsid w:val="00792979"/>
    <w:rsid w:val="007929AC"/>
    <w:rsid w:val="00792E69"/>
    <w:rsid w:val="00793201"/>
    <w:rsid w:val="00793BB4"/>
    <w:rsid w:val="007948AA"/>
    <w:rsid w:val="007949DA"/>
    <w:rsid w:val="0079538E"/>
    <w:rsid w:val="0079562B"/>
    <w:rsid w:val="007956C3"/>
    <w:rsid w:val="0079601F"/>
    <w:rsid w:val="007968B5"/>
    <w:rsid w:val="00797169"/>
    <w:rsid w:val="00797B0D"/>
    <w:rsid w:val="007A0722"/>
    <w:rsid w:val="007A0FC9"/>
    <w:rsid w:val="007A11D9"/>
    <w:rsid w:val="007A14C8"/>
    <w:rsid w:val="007A1642"/>
    <w:rsid w:val="007A164A"/>
    <w:rsid w:val="007A1AF8"/>
    <w:rsid w:val="007A1C81"/>
    <w:rsid w:val="007A1DDF"/>
    <w:rsid w:val="007A1F5D"/>
    <w:rsid w:val="007A2036"/>
    <w:rsid w:val="007A2230"/>
    <w:rsid w:val="007A22E0"/>
    <w:rsid w:val="007A23FF"/>
    <w:rsid w:val="007A2D96"/>
    <w:rsid w:val="007A4E27"/>
    <w:rsid w:val="007A5846"/>
    <w:rsid w:val="007A6513"/>
    <w:rsid w:val="007A67D9"/>
    <w:rsid w:val="007A7250"/>
    <w:rsid w:val="007A7333"/>
    <w:rsid w:val="007A7514"/>
    <w:rsid w:val="007A75AB"/>
    <w:rsid w:val="007A7F63"/>
    <w:rsid w:val="007B001D"/>
    <w:rsid w:val="007B0B48"/>
    <w:rsid w:val="007B1B9D"/>
    <w:rsid w:val="007B2414"/>
    <w:rsid w:val="007B249D"/>
    <w:rsid w:val="007B2DDC"/>
    <w:rsid w:val="007B2E6E"/>
    <w:rsid w:val="007B2F0B"/>
    <w:rsid w:val="007B2F44"/>
    <w:rsid w:val="007B3412"/>
    <w:rsid w:val="007B3875"/>
    <w:rsid w:val="007B4ACC"/>
    <w:rsid w:val="007B4B07"/>
    <w:rsid w:val="007B4CD0"/>
    <w:rsid w:val="007B60DA"/>
    <w:rsid w:val="007B6727"/>
    <w:rsid w:val="007B6799"/>
    <w:rsid w:val="007B68CB"/>
    <w:rsid w:val="007C0178"/>
    <w:rsid w:val="007C0769"/>
    <w:rsid w:val="007C100A"/>
    <w:rsid w:val="007C1187"/>
    <w:rsid w:val="007C21AD"/>
    <w:rsid w:val="007C2B85"/>
    <w:rsid w:val="007C3F76"/>
    <w:rsid w:val="007C415C"/>
    <w:rsid w:val="007C5292"/>
    <w:rsid w:val="007C5570"/>
    <w:rsid w:val="007C5E76"/>
    <w:rsid w:val="007C6321"/>
    <w:rsid w:val="007C6328"/>
    <w:rsid w:val="007C6395"/>
    <w:rsid w:val="007C6665"/>
    <w:rsid w:val="007C743D"/>
    <w:rsid w:val="007C7EAA"/>
    <w:rsid w:val="007D0837"/>
    <w:rsid w:val="007D0D84"/>
    <w:rsid w:val="007D1075"/>
    <w:rsid w:val="007D1265"/>
    <w:rsid w:val="007D14A1"/>
    <w:rsid w:val="007D14F8"/>
    <w:rsid w:val="007D18C9"/>
    <w:rsid w:val="007D2BB0"/>
    <w:rsid w:val="007D2E4A"/>
    <w:rsid w:val="007D3A71"/>
    <w:rsid w:val="007D3BEF"/>
    <w:rsid w:val="007D471A"/>
    <w:rsid w:val="007D48A5"/>
    <w:rsid w:val="007D4B1E"/>
    <w:rsid w:val="007D5027"/>
    <w:rsid w:val="007D555D"/>
    <w:rsid w:val="007D5A13"/>
    <w:rsid w:val="007D5B19"/>
    <w:rsid w:val="007D621A"/>
    <w:rsid w:val="007D719D"/>
    <w:rsid w:val="007D753D"/>
    <w:rsid w:val="007D7EB5"/>
    <w:rsid w:val="007D7F20"/>
    <w:rsid w:val="007E0069"/>
    <w:rsid w:val="007E0985"/>
    <w:rsid w:val="007E0BFF"/>
    <w:rsid w:val="007E0CE0"/>
    <w:rsid w:val="007E11C8"/>
    <w:rsid w:val="007E143E"/>
    <w:rsid w:val="007E2D8E"/>
    <w:rsid w:val="007E37CD"/>
    <w:rsid w:val="007E3CAA"/>
    <w:rsid w:val="007E475F"/>
    <w:rsid w:val="007E4F27"/>
    <w:rsid w:val="007E546E"/>
    <w:rsid w:val="007E561D"/>
    <w:rsid w:val="007E6331"/>
    <w:rsid w:val="007E6390"/>
    <w:rsid w:val="007E692C"/>
    <w:rsid w:val="007E6F75"/>
    <w:rsid w:val="007E708A"/>
    <w:rsid w:val="007E7CAD"/>
    <w:rsid w:val="007E7D82"/>
    <w:rsid w:val="007F07CB"/>
    <w:rsid w:val="007F08FA"/>
    <w:rsid w:val="007F2474"/>
    <w:rsid w:val="007F2F9E"/>
    <w:rsid w:val="007F353B"/>
    <w:rsid w:val="007F3E27"/>
    <w:rsid w:val="007F4CC3"/>
    <w:rsid w:val="007F528C"/>
    <w:rsid w:val="007F5E21"/>
    <w:rsid w:val="007F606B"/>
    <w:rsid w:val="007F66C0"/>
    <w:rsid w:val="007F730A"/>
    <w:rsid w:val="007F797D"/>
    <w:rsid w:val="007F79DB"/>
    <w:rsid w:val="008000C5"/>
    <w:rsid w:val="00800E43"/>
    <w:rsid w:val="0080101F"/>
    <w:rsid w:val="00801042"/>
    <w:rsid w:val="008013C7"/>
    <w:rsid w:val="00801FE2"/>
    <w:rsid w:val="00802C1A"/>
    <w:rsid w:val="00802EE0"/>
    <w:rsid w:val="00802F8A"/>
    <w:rsid w:val="008035D0"/>
    <w:rsid w:val="00803A88"/>
    <w:rsid w:val="00803B12"/>
    <w:rsid w:val="00804A95"/>
    <w:rsid w:val="00806B9A"/>
    <w:rsid w:val="0080759C"/>
    <w:rsid w:val="00807857"/>
    <w:rsid w:val="0080790F"/>
    <w:rsid w:val="008103B4"/>
    <w:rsid w:val="00810839"/>
    <w:rsid w:val="00810DAE"/>
    <w:rsid w:val="00811221"/>
    <w:rsid w:val="008114F0"/>
    <w:rsid w:val="0081157B"/>
    <w:rsid w:val="00811816"/>
    <w:rsid w:val="00811AE2"/>
    <w:rsid w:val="00811CCE"/>
    <w:rsid w:val="008126F5"/>
    <w:rsid w:val="00812889"/>
    <w:rsid w:val="00812A00"/>
    <w:rsid w:val="00812D7D"/>
    <w:rsid w:val="008134E6"/>
    <w:rsid w:val="008137A4"/>
    <w:rsid w:val="008137F5"/>
    <w:rsid w:val="008138B0"/>
    <w:rsid w:val="008140E9"/>
    <w:rsid w:val="0081557F"/>
    <w:rsid w:val="008158A7"/>
    <w:rsid w:val="00815F79"/>
    <w:rsid w:val="00816754"/>
    <w:rsid w:val="0081688C"/>
    <w:rsid w:val="00816968"/>
    <w:rsid w:val="00817203"/>
    <w:rsid w:val="008173CD"/>
    <w:rsid w:val="008173DF"/>
    <w:rsid w:val="00817BDC"/>
    <w:rsid w:val="008202C3"/>
    <w:rsid w:val="008207D6"/>
    <w:rsid w:val="00820854"/>
    <w:rsid w:val="008208EC"/>
    <w:rsid w:val="00820C43"/>
    <w:rsid w:val="00820EFC"/>
    <w:rsid w:val="00820F6D"/>
    <w:rsid w:val="00821747"/>
    <w:rsid w:val="00821AC8"/>
    <w:rsid w:val="00821E6A"/>
    <w:rsid w:val="008235C6"/>
    <w:rsid w:val="00823962"/>
    <w:rsid w:val="00823EFC"/>
    <w:rsid w:val="00824575"/>
    <w:rsid w:val="00825D3A"/>
    <w:rsid w:val="00826B36"/>
    <w:rsid w:val="00826B80"/>
    <w:rsid w:val="008273FB"/>
    <w:rsid w:val="00827B8E"/>
    <w:rsid w:val="0083097D"/>
    <w:rsid w:val="00830A60"/>
    <w:rsid w:val="00830B92"/>
    <w:rsid w:val="00830F75"/>
    <w:rsid w:val="00831A8E"/>
    <w:rsid w:val="008324F2"/>
    <w:rsid w:val="00832B5C"/>
    <w:rsid w:val="00832FFE"/>
    <w:rsid w:val="008331BB"/>
    <w:rsid w:val="0083347D"/>
    <w:rsid w:val="00833756"/>
    <w:rsid w:val="00833ACC"/>
    <w:rsid w:val="0083457E"/>
    <w:rsid w:val="008348C2"/>
    <w:rsid w:val="00834C9C"/>
    <w:rsid w:val="00835094"/>
    <w:rsid w:val="008351A1"/>
    <w:rsid w:val="0083568A"/>
    <w:rsid w:val="00835876"/>
    <w:rsid w:val="00835AA2"/>
    <w:rsid w:val="00835BD0"/>
    <w:rsid w:val="0083662E"/>
    <w:rsid w:val="008366F6"/>
    <w:rsid w:val="00836D27"/>
    <w:rsid w:val="00836E06"/>
    <w:rsid w:val="00837A67"/>
    <w:rsid w:val="008400A7"/>
    <w:rsid w:val="0084143E"/>
    <w:rsid w:val="00841687"/>
    <w:rsid w:val="00841F94"/>
    <w:rsid w:val="008421F1"/>
    <w:rsid w:val="00842B5F"/>
    <w:rsid w:val="00843003"/>
    <w:rsid w:val="0084481C"/>
    <w:rsid w:val="0084482D"/>
    <w:rsid w:val="00844EF9"/>
    <w:rsid w:val="0084501D"/>
    <w:rsid w:val="008454A7"/>
    <w:rsid w:val="008454D8"/>
    <w:rsid w:val="00845BF1"/>
    <w:rsid w:val="008461EE"/>
    <w:rsid w:val="008464B9"/>
    <w:rsid w:val="00846F93"/>
    <w:rsid w:val="0085025C"/>
    <w:rsid w:val="00850CDF"/>
    <w:rsid w:val="00850DA6"/>
    <w:rsid w:val="00850F45"/>
    <w:rsid w:val="00852F46"/>
    <w:rsid w:val="008535F0"/>
    <w:rsid w:val="00853B54"/>
    <w:rsid w:val="00854EFB"/>
    <w:rsid w:val="0085522D"/>
    <w:rsid w:val="00855C2E"/>
    <w:rsid w:val="00856373"/>
    <w:rsid w:val="0085641C"/>
    <w:rsid w:val="0085695F"/>
    <w:rsid w:val="00857710"/>
    <w:rsid w:val="00857864"/>
    <w:rsid w:val="008579E3"/>
    <w:rsid w:val="00860329"/>
    <w:rsid w:val="00860595"/>
    <w:rsid w:val="008605B9"/>
    <w:rsid w:val="00862A2B"/>
    <w:rsid w:val="00862E8A"/>
    <w:rsid w:val="00862EA9"/>
    <w:rsid w:val="00863C3E"/>
    <w:rsid w:val="00863DE0"/>
    <w:rsid w:val="00864394"/>
    <w:rsid w:val="0086477B"/>
    <w:rsid w:val="00864E45"/>
    <w:rsid w:val="00865950"/>
    <w:rsid w:val="00866025"/>
    <w:rsid w:val="00866A1E"/>
    <w:rsid w:val="00866CC4"/>
    <w:rsid w:val="008702BD"/>
    <w:rsid w:val="00870815"/>
    <w:rsid w:val="00871796"/>
    <w:rsid w:val="00871AD8"/>
    <w:rsid w:val="0087343A"/>
    <w:rsid w:val="00873542"/>
    <w:rsid w:val="00873DC6"/>
    <w:rsid w:val="00873E94"/>
    <w:rsid w:val="0087404E"/>
    <w:rsid w:val="008743D3"/>
    <w:rsid w:val="00874CE6"/>
    <w:rsid w:val="008752DC"/>
    <w:rsid w:val="0087565B"/>
    <w:rsid w:val="00876738"/>
    <w:rsid w:val="00876D41"/>
    <w:rsid w:val="008772E4"/>
    <w:rsid w:val="00880F29"/>
    <w:rsid w:val="008811FA"/>
    <w:rsid w:val="00881A0A"/>
    <w:rsid w:val="00881BFD"/>
    <w:rsid w:val="00881C27"/>
    <w:rsid w:val="00881F3B"/>
    <w:rsid w:val="008822BC"/>
    <w:rsid w:val="00882378"/>
    <w:rsid w:val="008824CE"/>
    <w:rsid w:val="008828D2"/>
    <w:rsid w:val="008828FA"/>
    <w:rsid w:val="008829FB"/>
    <w:rsid w:val="00882B08"/>
    <w:rsid w:val="00882F18"/>
    <w:rsid w:val="0088453C"/>
    <w:rsid w:val="008845AA"/>
    <w:rsid w:val="008846FE"/>
    <w:rsid w:val="00884C20"/>
    <w:rsid w:val="00884FB0"/>
    <w:rsid w:val="00885B3F"/>
    <w:rsid w:val="00885DC5"/>
    <w:rsid w:val="008865D3"/>
    <w:rsid w:val="00886FC3"/>
    <w:rsid w:val="00887F61"/>
    <w:rsid w:val="0089037C"/>
    <w:rsid w:val="008909DA"/>
    <w:rsid w:val="008913E6"/>
    <w:rsid w:val="00891497"/>
    <w:rsid w:val="00891772"/>
    <w:rsid w:val="00891A57"/>
    <w:rsid w:val="00892A03"/>
    <w:rsid w:val="0089392D"/>
    <w:rsid w:val="00894963"/>
    <w:rsid w:val="0089521E"/>
    <w:rsid w:val="00895816"/>
    <w:rsid w:val="00895873"/>
    <w:rsid w:val="00895AF4"/>
    <w:rsid w:val="00896404"/>
    <w:rsid w:val="00896ABC"/>
    <w:rsid w:val="008978B7"/>
    <w:rsid w:val="008A0753"/>
    <w:rsid w:val="008A1159"/>
    <w:rsid w:val="008A128B"/>
    <w:rsid w:val="008A1597"/>
    <w:rsid w:val="008A1E17"/>
    <w:rsid w:val="008A1F9A"/>
    <w:rsid w:val="008A278C"/>
    <w:rsid w:val="008A2B71"/>
    <w:rsid w:val="008A4D2F"/>
    <w:rsid w:val="008A526D"/>
    <w:rsid w:val="008A5462"/>
    <w:rsid w:val="008A6B76"/>
    <w:rsid w:val="008A768B"/>
    <w:rsid w:val="008A7908"/>
    <w:rsid w:val="008A7FB4"/>
    <w:rsid w:val="008B011C"/>
    <w:rsid w:val="008B0902"/>
    <w:rsid w:val="008B09BC"/>
    <w:rsid w:val="008B0A1E"/>
    <w:rsid w:val="008B1A2B"/>
    <w:rsid w:val="008B1DF0"/>
    <w:rsid w:val="008B22E6"/>
    <w:rsid w:val="008B2C52"/>
    <w:rsid w:val="008B2C92"/>
    <w:rsid w:val="008B30AE"/>
    <w:rsid w:val="008B3580"/>
    <w:rsid w:val="008B3B88"/>
    <w:rsid w:val="008B42DF"/>
    <w:rsid w:val="008B4925"/>
    <w:rsid w:val="008B6AE6"/>
    <w:rsid w:val="008B6DC1"/>
    <w:rsid w:val="008B6DD9"/>
    <w:rsid w:val="008B70DE"/>
    <w:rsid w:val="008B723E"/>
    <w:rsid w:val="008B79CD"/>
    <w:rsid w:val="008B7E65"/>
    <w:rsid w:val="008C00DC"/>
    <w:rsid w:val="008C0BF0"/>
    <w:rsid w:val="008C1289"/>
    <w:rsid w:val="008C1660"/>
    <w:rsid w:val="008C1709"/>
    <w:rsid w:val="008C1762"/>
    <w:rsid w:val="008C1806"/>
    <w:rsid w:val="008C1D2D"/>
    <w:rsid w:val="008C22CB"/>
    <w:rsid w:val="008C23B1"/>
    <w:rsid w:val="008C30C6"/>
    <w:rsid w:val="008C35E6"/>
    <w:rsid w:val="008C381C"/>
    <w:rsid w:val="008C3C8E"/>
    <w:rsid w:val="008C3E68"/>
    <w:rsid w:val="008C4647"/>
    <w:rsid w:val="008C4FD5"/>
    <w:rsid w:val="008C4FDA"/>
    <w:rsid w:val="008C4FEB"/>
    <w:rsid w:val="008C5280"/>
    <w:rsid w:val="008C695E"/>
    <w:rsid w:val="008C6CE2"/>
    <w:rsid w:val="008C7CDF"/>
    <w:rsid w:val="008C7D1F"/>
    <w:rsid w:val="008D0133"/>
    <w:rsid w:val="008D10D1"/>
    <w:rsid w:val="008D177D"/>
    <w:rsid w:val="008D1A10"/>
    <w:rsid w:val="008D243D"/>
    <w:rsid w:val="008D26C1"/>
    <w:rsid w:val="008D2D0A"/>
    <w:rsid w:val="008D2D8B"/>
    <w:rsid w:val="008D310E"/>
    <w:rsid w:val="008D34F1"/>
    <w:rsid w:val="008D3A2A"/>
    <w:rsid w:val="008D3BBA"/>
    <w:rsid w:val="008D40A4"/>
    <w:rsid w:val="008D5050"/>
    <w:rsid w:val="008D5074"/>
    <w:rsid w:val="008D5277"/>
    <w:rsid w:val="008D5A4F"/>
    <w:rsid w:val="008D66EC"/>
    <w:rsid w:val="008D6CBE"/>
    <w:rsid w:val="008D6EA6"/>
    <w:rsid w:val="008D6EE8"/>
    <w:rsid w:val="008D7188"/>
    <w:rsid w:val="008D7816"/>
    <w:rsid w:val="008D7B6C"/>
    <w:rsid w:val="008D7C2C"/>
    <w:rsid w:val="008D7DD2"/>
    <w:rsid w:val="008D7FA4"/>
    <w:rsid w:val="008E01F4"/>
    <w:rsid w:val="008E09A7"/>
    <w:rsid w:val="008E0AE3"/>
    <w:rsid w:val="008E21A8"/>
    <w:rsid w:val="008E242D"/>
    <w:rsid w:val="008E275F"/>
    <w:rsid w:val="008E2A17"/>
    <w:rsid w:val="008E40C8"/>
    <w:rsid w:val="008E45C0"/>
    <w:rsid w:val="008E46C0"/>
    <w:rsid w:val="008E4B29"/>
    <w:rsid w:val="008E593E"/>
    <w:rsid w:val="008E5AAD"/>
    <w:rsid w:val="008E6DCB"/>
    <w:rsid w:val="008E6F18"/>
    <w:rsid w:val="008E78AE"/>
    <w:rsid w:val="008E79FA"/>
    <w:rsid w:val="008F02E9"/>
    <w:rsid w:val="008F0823"/>
    <w:rsid w:val="008F1055"/>
    <w:rsid w:val="008F162D"/>
    <w:rsid w:val="008F1945"/>
    <w:rsid w:val="008F1AEC"/>
    <w:rsid w:val="008F279B"/>
    <w:rsid w:val="008F2FA7"/>
    <w:rsid w:val="008F31A6"/>
    <w:rsid w:val="008F359A"/>
    <w:rsid w:val="008F38A2"/>
    <w:rsid w:val="008F3FC8"/>
    <w:rsid w:val="008F5253"/>
    <w:rsid w:val="008F53A1"/>
    <w:rsid w:val="008F5FE8"/>
    <w:rsid w:val="008F609F"/>
    <w:rsid w:val="008F6896"/>
    <w:rsid w:val="008F6E74"/>
    <w:rsid w:val="008F7447"/>
    <w:rsid w:val="008F7584"/>
    <w:rsid w:val="008F7D7A"/>
    <w:rsid w:val="008F7EFB"/>
    <w:rsid w:val="0090003A"/>
    <w:rsid w:val="00900689"/>
    <w:rsid w:val="00900A68"/>
    <w:rsid w:val="00901637"/>
    <w:rsid w:val="00901B8F"/>
    <w:rsid w:val="009026DA"/>
    <w:rsid w:val="00902E14"/>
    <w:rsid w:val="00903771"/>
    <w:rsid w:val="00903D65"/>
    <w:rsid w:val="009045BF"/>
    <w:rsid w:val="00904CCF"/>
    <w:rsid w:val="00905163"/>
    <w:rsid w:val="00905D46"/>
    <w:rsid w:val="00906016"/>
    <w:rsid w:val="00906B97"/>
    <w:rsid w:val="00910B0B"/>
    <w:rsid w:val="00910D1F"/>
    <w:rsid w:val="00911473"/>
    <w:rsid w:val="00911D77"/>
    <w:rsid w:val="00912012"/>
    <w:rsid w:val="0091285E"/>
    <w:rsid w:val="00912884"/>
    <w:rsid w:val="00912B9C"/>
    <w:rsid w:val="00912DBB"/>
    <w:rsid w:val="00913078"/>
    <w:rsid w:val="00913495"/>
    <w:rsid w:val="00913650"/>
    <w:rsid w:val="009138FA"/>
    <w:rsid w:val="00913D09"/>
    <w:rsid w:val="00914B2C"/>
    <w:rsid w:val="00914D90"/>
    <w:rsid w:val="00914DFA"/>
    <w:rsid w:val="009153CC"/>
    <w:rsid w:val="00915D3A"/>
    <w:rsid w:val="009161A2"/>
    <w:rsid w:val="009176D7"/>
    <w:rsid w:val="0092095E"/>
    <w:rsid w:val="00920F49"/>
    <w:rsid w:val="00921391"/>
    <w:rsid w:val="009218F5"/>
    <w:rsid w:val="00921AA1"/>
    <w:rsid w:val="00921C6A"/>
    <w:rsid w:val="00921DD6"/>
    <w:rsid w:val="00922D6F"/>
    <w:rsid w:val="0092330F"/>
    <w:rsid w:val="009246C4"/>
    <w:rsid w:val="009247E4"/>
    <w:rsid w:val="00924BC6"/>
    <w:rsid w:val="00925006"/>
    <w:rsid w:val="00925184"/>
    <w:rsid w:val="009253E6"/>
    <w:rsid w:val="00926586"/>
    <w:rsid w:val="009266BE"/>
    <w:rsid w:val="00926993"/>
    <w:rsid w:val="00926A9E"/>
    <w:rsid w:val="0092721E"/>
    <w:rsid w:val="00927AD0"/>
    <w:rsid w:val="00927B0F"/>
    <w:rsid w:val="00930280"/>
    <w:rsid w:val="00930CDF"/>
    <w:rsid w:val="00931221"/>
    <w:rsid w:val="00931239"/>
    <w:rsid w:val="009323BA"/>
    <w:rsid w:val="0093248E"/>
    <w:rsid w:val="00932B21"/>
    <w:rsid w:val="00932DD0"/>
    <w:rsid w:val="00932E08"/>
    <w:rsid w:val="009335B1"/>
    <w:rsid w:val="00933F68"/>
    <w:rsid w:val="00934181"/>
    <w:rsid w:val="0093486D"/>
    <w:rsid w:val="00934B02"/>
    <w:rsid w:val="00934E8A"/>
    <w:rsid w:val="00935235"/>
    <w:rsid w:val="00935B72"/>
    <w:rsid w:val="009363AC"/>
    <w:rsid w:val="009376A4"/>
    <w:rsid w:val="009403B9"/>
    <w:rsid w:val="00941FAC"/>
    <w:rsid w:val="00941FEE"/>
    <w:rsid w:val="00942379"/>
    <w:rsid w:val="009435B1"/>
    <w:rsid w:val="00943BE2"/>
    <w:rsid w:val="00943C87"/>
    <w:rsid w:val="00943FDC"/>
    <w:rsid w:val="0094545F"/>
    <w:rsid w:val="009457B8"/>
    <w:rsid w:val="00945AE2"/>
    <w:rsid w:val="00945BBB"/>
    <w:rsid w:val="00945EE4"/>
    <w:rsid w:val="009460FE"/>
    <w:rsid w:val="00947866"/>
    <w:rsid w:val="0095020C"/>
    <w:rsid w:val="0095027A"/>
    <w:rsid w:val="00950577"/>
    <w:rsid w:val="00950AF9"/>
    <w:rsid w:val="00950F7F"/>
    <w:rsid w:val="00951AD2"/>
    <w:rsid w:val="0095207C"/>
    <w:rsid w:val="009527F0"/>
    <w:rsid w:val="009528E4"/>
    <w:rsid w:val="00952CD2"/>
    <w:rsid w:val="00952D61"/>
    <w:rsid w:val="00952EDD"/>
    <w:rsid w:val="009532CF"/>
    <w:rsid w:val="00954535"/>
    <w:rsid w:val="009547D8"/>
    <w:rsid w:val="00954811"/>
    <w:rsid w:val="00954D88"/>
    <w:rsid w:val="00954D8B"/>
    <w:rsid w:val="00954E92"/>
    <w:rsid w:val="00954F48"/>
    <w:rsid w:val="009554D3"/>
    <w:rsid w:val="00955AB0"/>
    <w:rsid w:val="00955C52"/>
    <w:rsid w:val="00955C5E"/>
    <w:rsid w:val="00957388"/>
    <w:rsid w:val="0095768C"/>
    <w:rsid w:val="00957774"/>
    <w:rsid w:val="00957C88"/>
    <w:rsid w:val="00957DA8"/>
    <w:rsid w:val="009602DD"/>
    <w:rsid w:val="009604EE"/>
    <w:rsid w:val="009607A6"/>
    <w:rsid w:val="00960B0B"/>
    <w:rsid w:val="00960D8D"/>
    <w:rsid w:val="0096260E"/>
    <w:rsid w:val="00962DF2"/>
    <w:rsid w:val="009636B0"/>
    <w:rsid w:val="00963760"/>
    <w:rsid w:val="009637D4"/>
    <w:rsid w:val="00963C07"/>
    <w:rsid w:val="0096466C"/>
    <w:rsid w:val="00964F16"/>
    <w:rsid w:val="009653C8"/>
    <w:rsid w:val="00965901"/>
    <w:rsid w:val="00966C33"/>
    <w:rsid w:val="00966C67"/>
    <w:rsid w:val="0096706B"/>
    <w:rsid w:val="0096711D"/>
    <w:rsid w:val="009673E1"/>
    <w:rsid w:val="00967FAF"/>
    <w:rsid w:val="0097083C"/>
    <w:rsid w:val="00970AA0"/>
    <w:rsid w:val="00970BBC"/>
    <w:rsid w:val="00970F8E"/>
    <w:rsid w:val="00971739"/>
    <w:rsid w:val="00971F99"/>
    <w:rsid w:val="00972712"/>
    <w:rsid w:val="00973227"/>
    <w:rsid w:val="009733BF"/>
    <w:rsid w:val="00973A17"/>
    <w:rsid w:val="00975134"/>
    <w:rsid w:val="00975F7A"/>
    <w:rsid w:val="00975FB9"/>
    <w:rsid w:val="0097666C"/>
    <w:rsid w:val="00976D99"/>
    <w:rsid w:val="0098018C"/>
    <w:rsid w:val="00980A03"/>
    <w:rsid w:val="00980B80"/>
    <w:rsid w:val="009825BC"/>
    <w:rsid w:val="00983AC1"/>
    <w:rsid w:val="00984116"/>
    <w:rsid w:val="00984BD8"/>
    <w:rsid w:val="00984D20"/>
    <w:rsid w:val="00984F3F"/>
    <w:rsid w:val="00984F88"/>
    <w:rsid w:val="009851F8"/>
    <w:rsid w:val="009853E5"/>
    <w:rsid w:val="0098556A"/>
    <w:rsid w:val="00985ADE"/>
    <w:rsid w:val="009861AA"/>
    <w:rsid w:val="009862EF"/>
    <w:rsid w:val="0098688F"/>
    <w:rsid w:val="00986B7E"/>
    <w:rsid w:val="00986D05"/>
    <w:rsid w:val="00987023"/>
    <w:rsid w:val="009877A8"/>
    <w:rsid w:val="00987F62"/>
    <w:rsid w:val="00990555"/>
    <w:rsid w:val="00990DFB"/>
    <w:rsid w:val="0099185F"/>
    <w:rsid w:val="00991A86"/>
    <w:rsid w:val="00991B71"/>
    <w:rsid w:val="00991CE1"/>
    <w:rsid w:val="009929A9"/>
    <w:rsid w:val="009934B1"/>
    <w:rsid w:val="00994B22"/>
    <w:rsid w:val="00994F43"/>
    <w:rsid w:val="00994FB6"/>
    <w:rsid w:val="00995746"/>
    <w:rsid w:val="00995AD5"/>
    <w:rsid w:val="009965CF"/>
    <w:rsid w:val="00996A2A"/>
    <w:rsid w:val="00997C9C"/>
    <w:rsid w:val="009A04C1"/>
    <w:rsid w:val="009A0DB3"/>
    <w:rsid w:val="009A0FFF"/>
    <w:rsid w:val="009A1189"/>
    <w:rsid w:val="009A12F0"/>
    <w:rsid w:val="009A1632"/>
    <w:rsid w:val="009A16AD"/>
    <w:rsid w:val="009A1800"/>
    <w:rsid w:val="009A1D80"/>
    <w:rsid w:val="009A2164"/>
    <w:rsid w:val="009A236A"/>
    <w:rsid w:val="009A26AD"/>
    <w:rsid w:val="009A4743"/>
    <w:rsid w:val="009A4E03"/>
    <w:rsid w:val="009A55ED"/>
    <w:rsid w:val="009B06BF"/>
    <w:rsid w:val="009B1201"/>
    <w:rsid w:val="009B135E"/>
    <w:rsid w:val="009B1F2B"/>
    <w:rsid w:val="009B2315"/>
    <w:rsid w:val="009B3160"/>
    <w:rsid w:val="009B3812"/>
    <w:rsid w:val="009B39A8"/>
    <w:rsid w:val="009B4155"/>
    <w:rsid w:val="009B4E70"/>
    <w:rsid w:val="009B54E0"/>
    <w:rsid w:val="009B5B8D"/>
    <w:rsid w:val="009B6D78"/>
    <w:rsid w:val="009B7322"/>
    <w:rsid w:val="009B7595"/>
    <w:rsid w:val="009C0AB8"/>
    <w:rsid w:val="009C0C09"/>
    <w:rsid w:val="009C12F5"/>
    <w:rsid w:val="009C1883"/>
    <w:rsid w:val="009C1E26"/>
    <w:rsid w:val="009C3642"/>
    <w:rsid w:val="009C3C4F"/>
    <w:rsid w:val="009C44E3"/>
    <w:rsid w:val="009C46EC"/>
    <w:rsid w:val="009C4AE1"/>
    <w:rsid w:val="009C53E4"/>
    <w:rsid w:val="009C54E1"/>
    <w:rsid w:val="009C5D72"/>
    <w:rsid w:val="009C631E"/>
    <w:rsid w:val="009C6CC3"/>
    <w:rsid w:val="009C75E9"/>
    <w:rsid w:val="009C7809"/>
    <w:rsid w:val="009C7AE5"/>
    <w:rsid w:val="009C7B51"/>
    <w:rsid w:val="009D0656"/>
    <w:rsid w:val="009D094D"/>
    <w:rsid w:val="009D0A2E"/>
    <w:rsid w:val="009D15B4"/>
    <w:rsid w:val="009D1F4C"/>
    <w:rsid w:val="009D22B2"/>
    <w:rsid w:val="009D32DE"/>
    <w:rsid w:val="009D3506"/>
    <w:rsid w:val="009D381B"/>
    <w:rsid w:val="009D38EC"/>
    <w:rsid w:val="009D451D"/>
    <w:rsid w:val="009D47AC"/>
    <w:rsid w:val="009D4AE9"/>
    <w:rsid w:val="009D4B60"/>
    <w:rsid w:val="009D54A6"/>
    <w:rsid w:val="009D5B97"/>
    <w:rsid w:val="009D6308"/>
    <w:rsid w:val="009D6B76"/>
    <w:rsid w:val="009D71C6"/>
    <w:rsid w:val="009D7814"/>
    <w:rsid w:val="009E0218"/>
    <w:rsid w:val="009E05CF"/>
    <w:rsid w:val="009E1052"/>
    <w:rsid w:val="009E1071"/>
    <w:rsid w:val="009E10D2"/>
    <w:rsid w:val="009E1620"/>
    <w:rsid w:val="009E2475"/>
    <w:rsid w:val="009E268F"/>
    <w:rsid w:val="009E27B3"/>
    <w:rsid w:val="009E2D4A"/>
    <w:rsid w:val="009E2FEF"/>
    <w:rsid w:val="009E3125"/>
    <w:rsid w:val="009E31E4"/>
    <w:rsid w:val="009E3394"/>
    <w:rsid w:val="009E3CFA"/>
    <w:rsid w:val="009E41D0"/>
    <w:rsid w:val="009E465E"/>
    <w:rsid w:val="009E49E4"/>
    <w:rsid w:val="009E4A02"/>
    <w:rsid w:val="009E4FD4"/>
    <w:rsid w:val="009E5520"/>
    <w:rsid w:val="009E57A8"/>
    <w:rsid w:val="009E64D7"/>
    <w:rsid w:val="009E6F58"/>
    <w:rsid w:val="009E7C53"/>
    <w:rsid w:val="009F051B"/>
    <w:rsid w:val="009F0E00"/>
    <w:rsid w:val="009F108E"/>
    <w:rsid w:val="009F1E8E"/>
    <w:rsid w:val="009F2098"/>
    <w:rsid w:val="009F2862"/>
    <w:rsid w:val="009F293D"/>
    <w:rsid w:val="009F3239"/>
    <w:rsid w:val="009F35A3"/>
    <w:rsid w:val="009F3D5E"/>
    <w:rsid w:val="009F46E5"/>
    <w:rsid w:val="009F6052"/>
    <w:rsid w:val="009F637C"/>
    <w:rsid w:val="009F71F7"/>
    <w:rsid w:val="009F736C"/>
    <w:rsid w:val="009F7430"/>
    <w:rsid w:val="009F7954"/>
    <w:rsid w:val="009F7E7F"/>
    <w:rsid w:val="00A00012"/>
    <w:rsid w:val="00A005C4"/>
    <w:rsid w:val="00A0076F"/>
    <w:rsid w:val="00A00873"/>
    <w:rsid w:val="00A00A0D"/>
    <w:rsid w:val="00A0197F"/>
    <w:rsid w:val="00A02012"/>
    <w:rsid w:val="00A0201B"/>
    <w:rsid w:val="00A02171"/>
    <w:rsid w:val="00A02E19"/>
    <w:rsid w:val="00A0368E"/>
    <w:rsid w:val="00A039B1"/>
    <w:rsid w:val="00A04098"/>
    <w:rsid w:val="00A043AD"/>
    <w:rsid w:val="00A044CE"/>
    <w:rsid w:val="00A04652"/>
    <w:rsid w:val="00A04CB0"/>
    <w:rsid w:val="00A053A3"/>
    <w:rsid w:val="00A054ED"/>
    <w:rsid w:val="00A06166"/>
    <w:rsid w:val="00A06242"/>
    <w:rsid w:val="00A063F3"/>
    <w:rsid w:val="00A067C6"/>
    <w:rsid w:val="00A06A30"/>
    <w:rsid w:val="00A07B8B"/>
    <w:rsid w:val="00A07D05"/>
    <w:rsid w:val="00A1060D"/>
    <w:rsid w:val="00A119FE"/>
    <w:rsid w:val="00A11B67"/>
    <w:rsid w:val="00A11CFC"/>
    <w:rsid w:val="00A12129"/>
    <w:rsid w:val="00A1224C"/>
    <w:rsid w:val="00A124FF"/>
    <w:rsid w:val="00A15157"/>
    <w:rsid w:val="00A151B5"/>
    <w:rsid w:val="00A1630E"/>
    <w:rsid w:val="00A1639F"/>
    <w:rsid w:val="00A16405"/>
    <w:rsid w:val="00A16E86"/>
    <w:rsid w:val="00A17524"/>
    <w:rsid w:val="00A1780E"/>
    <w:rsid w:val="00A1786C"/>
    <w:rsid w:val="00A17AFF"/>
    <w:rsid w:val="00A204B9"/>
    <w:rsid w:val="00A20DEA"/>
    <w:rsid w:val="00A21F08"/>
    <w:rsid w:val="00A22D5E"/>
    <w:rsid w:val="00A236CE"/>
    <w:rsid w:val="00A23A6F"/>
    <w:rsid w:val="00A23A80"/>
    <w:rsid w:val="00A23D04"/>
    <w:rsid w:val="00A24493"/>
    <w:rsid w:val="00A24FD8"/>
    <w:rsid w:val="00A25769"/>
    <w:rsid w:val="00A26B6B"/>
    <w:rsid w:val="00A26BCA"/>
    <w:rsid w:val="00A27013"/>
    <w:rsid w:val="00A27792"/>
    <w:rsid w:val="00A27A64"/>
    <w:rsid w:val="00A27AD3"/>
    <w:rsid w:val="00A27FA1"/>
    <w:rsid w:val="00A30591"/>
    <w:rsid w:val="00A30734"/>
    <w:rsid w:val="00A30879"/>
    <w:rsid w:val="00A310C1"/>
    <w:rsid w:val="00A31979"/>
    <w:rsid w:val="00A329ED"/>
    <w:rsid w:val="00A3312E"/>
    <w:rsid w:val="00A33469"/>
    <w:rsid w:val="00A34527"/>
    <w:rsid w:val="00A35174"/>
    <w:rsid w:val="00A363ED"/>
    <w:rsid w:val="00A36736"/>
    <w:rsid w:val="00A36BA3"/>
    <w:rsid w:val="00A36E96"/>
    <w:rsid w:val="00A374D6"/>
    <w:rsid w:val="00A37D26"/>
    <w:rsid w:val="00A402A5"/>
    <w:rsid w:val="00A4181B"/>
    <w:rsid w:val="00A42372"/>
    <w:rsid w:val="00A42812"/>
    <w:rsid w:val="00A43393"/>
    <w:rsid w:val="00A43454"/>
    <w:rsid w:val="00A43757"/>
    <w:rsid w:val="00A438AC"/>
    <w:rsid w:val="00A439F7"/>
    <w:rsid w:val="00A43BB0"/>
    <w:rsid w:val="00A44613"/>
    <w:rsid w:val="00A4473C"/>
    <w:rsid w:val="00A44A5F"/>
    <w:rsid w:val="00A45041"/>
    <w:rsid w:val="00A451B3"/>
    <w:rsid w:val="00A45AE1"/>
    <w:rsid w:val="00A463C9"/>
    <w:rsid w:val="00A464E9"/>
    <w:rsid w:val="00A46A23"/>
    <w:rsid w:val="00A47048"/>
    <w:rsid w:val="00A471A8"/>
    <w:rsid w:val="00A4720B"/>
    <w:rsid w:val="00A4779A"/>
    <w:rsid w:val="00A501DB"/>
    <w:rsid w:val="00A50687"/>
    <w:rsid w:val="00A51532"/>
    <w:rsid w:val="00A51720"/>
    <w:rsid w:val="00A518D8"/>
    <w:rsid w:val="00A51DDF"/>
    <w:rsid w:val="00A51F98"/>
    <w:rsid w:val="00A53414"/>
    <w:rsid w:val="00A53BA3"/>
    <w:rsid w:val="00A53BBC"/>
    <w:rsid w:val="00A54037"/>
    <w:rsid w:val="00A54D1D"/>
    <w:rsid w:val="00A5530D"/>
    <w:rsid w:val="00A5540E"/>
    <w:rsid w:val="00A55D4F"/>
    <w:rsid w:val="00A5643E"/>
    <w:rsid w:val="00A57352"/>
    <w:rsid w:val="00A57B70"/>
    <w:rsid w:val="00A57DBB"/>
    <w:rsid w:val="00A57EF0"/>
    <w:rsid w:val="00A6071E"/>
    <w:rsid w:val="00A60B97"/>
    <w:rsid w:val="00A61856"/>
    <w:rsid w:val="00A619FE"/>
    <w:rsid w:val="00A61B2D"/>
    <w:rsid w:val="00A61C80"/>
    <w:rsid w:val="00A61F82"/>
    <w:rsid w:val="00A621AB"/>
    <w:rsid w:val="00A62358"/>
    <w:rsid w:val="00A63033"/>
    <w:rsid w:val="00A63720"/>
    <w:rsid w:val="00A652BB"/>
    <w:rsid w:val="00A6572F"/>
    <w:rsid w:val="00A663E9"/>
    <w:rsid w:val="00A6758A"/>
    <w:rsid w:val="00A677A0"/>
    <w:rsid w:val="00A70AB0"/>
    <w:rsid w:val="00A70B85"/>
    <w:rsid w:val="00A70EE5"/>
    <w:rsid w:val="00A711A7"/>
    <w:rsid w:val="00A71BE6"/>
    <w:rsid w:val="00A71C26"/>
    <w:rsid w:val="00A71C6B"/>
    <w:rsid w:val="00A730C7"/>
    <w:rsid w:val="00A7330B"/>
    <w:rsid w:val="00A7536D"/>
    <w:rsid w:val="00A76A0B"/>
    <w:rsid w:val="00A76B1D"/>
    <w:rsid w:val="00A76B3D"/>
    <w:rsid w:val="00A772A8"/>
    <w:rsid w:val="00A77B67"/>
    <w:rsid w:val="00A807E9"/>
    <w:rsid w:val="00A81B2E"/>
    <w:rsid w:val="00A81DE5"/>
    <w:rsid w:val="00A822CB"/>
    <w:rsid w:val="00A824FE"/>
    <w:rsid w:val="00A82822"/>
    <w:rsid w:val="00A82BC7"/>
    <w:rsid w:val="00A83792"/>
    <w:rsid w:val="00A83DD3"/>
    <w:rsid w:val="00A8454B"/>
    <w:rsid w:val="00A84D1E"/>
    <w:rsid w:val="00A8566E"/>
    <w:rsid w:val="00A859B6"/>
    <w:rsid w:val="00A85B18"/>
    <w:rsid w:val="00A86074"/>
    <w:rsid w:val="00A8607D"/>
    <w:rsid w:val="00A8627D"/>
    <w:rsid w:val="00A86C0B"/>
    <w:rsid w:val="00A877EB"/>
    <w:rsid w:val="00A9037B"/>
    <w:rsid w:val="00A905C3"/>
    <w:rsid w:val="00A9060F"/>
    <w:rsid w:val="00A90829"/>
    <w:rsid w:val="00A91247"/>
    <w:rsid w:val="00A9168B"/>
    <w:rsid w:val="00A916C9"/>
    <w:rsid w:val="00A91786"/>
    <w:rsid w:val="00A91C19"/>
    <w:rsid w:val="00A92872"/>
    <w:rsid w:val="00A92DA2"/>
    <w:rsid w:val="00A933E0"/>
    <w:rsid w:val="00A936A6"/>
    <w:rsid w:val="00A93CA8"/>
    <w:rsid w:val="00A93EC5"/>
    <w:rsid w:val="00A943B5"/>
    <w:rsid w:val="00A94F3D"/>
    <w:rsid w:val="00A94FC3"/>
    <w:rsid w:val="00A95809"/>
    <w:rsid w:val="00A95F11"/>
    <w:rsid w:val="00A9601E"/>
    <w:rsid w:val="00A963AB"/>
    <w:rsid w:val="00A964CA"/>
    <w:rsid w:val="00A96503"/>
    <w:rsid w:val="00A96594"/>
    <w:rsid w:val="00A96EF4"/>
    <w:rsid w:val="00A974D1"/>
    <w:rsid w:val="00A97857"/>
    <w:rsid w:val="00A97E4C"/>
    <w:rsid w:val="00A97EC8"/>
    <w:rsid w:val="00AA0630"/>
    <w:rsid w:val="00AA0E86"/>
    <w:rsid w:val="00AA11D5"/>
    <w:rsid w:val="00AA3871"/>
    <w:rsid w:val="00AA3BD2"/>
    <w:rsid w:val="00AA561B"/>
    <w:rsid w:val="00AA5990"/>
    <w:rsid w:val="00AA5A8E"/>
    <w:rsid w:val="00AA5EC3"/>
    <w:rsid w:val="00AA6621"/>
    <w:rsid w:val="00AA669A"/>
    <w:rsid w:val="00AA6982"/>
    <w:rsid w:val="00AA6D19"/>
    <w:rsid w:val="00AA6D5E"/>
    <w:rsid w:val="00AA7239"/>
    <w:rsid w:val="00AA78EA"/>
    <w:rsid w:val="00AB0440"/>
    <w:rsid w:val="00AB1408"/>
    <w:rsid w:val="00AB18A1"/>
    <w:rsid w:val="00AB1B1D"/>
    <w:rsid w:val="00AB1D20"/>
    <w:rsid w:val="00AB1FF9"/>
    <w:rsid w:val="00AB2314"/>
    <w:rsid w:val="00AB32CE"/>
    <w:rsid w:val="00AB3DB6"/>
    <w:rsid w:val="00AB3EB4"/>
    <w:rsid w:val="00AB4179"/>
    <w:rsid w:val="00AB43A3"/>
    <w:rsid w:val="00AB4BB2"/>
    <w:rsid w:val="00AB50F8"/>
    <w:rsid w:val="00AB56EE"/>
    <w:rsid w:val="00AB6305"/>
    <w:rsid w:val="00AB649B"/>
    <w:rsid w:val="00AB6B57"/>
    <w:rsid w:val="00AB6CAB"/>
    <w:rsid w:val="00AB7168"/>
    <w:rsid w:val="00AB7435"/>
    <w:rsid w:val="00AB76B3"/>
    <w:rsid w:val="00AB7995"/>
    <w:rsid w:val="00AB7F75"/>
    <w:rsid w:val="00AC01A5"/>
    <w:rsid w:val="00AC026E"/>
    <w:rsid w:val="00AC0BAF"/>
    <w:rsid w:val="00AC0C31"/>
    <w:rsid w:val="00AC189F"/>
    <w:rsid w:val="00AC2D20"/>
    <w:rsid w:val="00AC3491"/>
    <w:rsid w:val="00AC380C"/>
    <w:rsid w:val="00AC4351"/>
    <w:rsid w:val="00AC449D"/>
    <w:rsid w:val="00AC44B3"/>
    <w:rsid w:val="00AC4B02"/>
    <w:rsid w:val="00AC4E64"/>
    <w:rsid w:val="00AC6458"/>
    <w:rsid w:val="00AC6FF9"/>
    <w:rsid w:val="00AC769E"/>
    <w:rsid w:val="00AC76B9"/>
    <w:rsid w:val="00AC78EB"/>
    <w:rsid w:val="00AD02AF"/>
    <w:rsid w:val="00AD0B76"/>
    <w:rsid w:val="00AD1304"/>
    <w:rsid w:val="00AD1381"/>
    <w:rsid w:val="00AD1386"/>
    <w:rsid w:val="00AD1630"/>
    <w:rsid w:val="00AD1731"/>
    <w:rsid w:val="00AD25F7"/>
    <w:rsid w:val="00AD2B00"/>
    <w:rsid w:val="00AD2E7F"/>
    <w:rsid w:val="00AD32D2"/>
    <w:rsid w:val="00AD3CA8"/>
    <w:rsid w:val="00AD4167"/>
    <w:rsid w:val="00AD561E"/>
    <w:rsid w:val="00AD57D9"/>
    <w:rsid w:val="00AD634F"/>
    <w:rsid w:val="00AD69C6"/>
    <w:rsid w:val="00AD6F20"/>
    <w:rsid w:val="00AD7134"/>
    <w:rsid w:val="00AD71F8"/>
    <w:rsid w:val="00AD761C"/>
    <w:rsid w:val="00AD780D"/>
    <w:rsid w:val="00AE0736"/>
    <w:rsid w:val="00AE1134"/>
    <w:rsid w:val="00AE1736"/>
    <w:rsid w:val="00AE2046"/>
    <w:rsid w:val="00AE229D"/>
    <w:rsid w:val="00AE2553"/>
    <w:rsid w:val="00AE3CC3"/>
    <w:rsid w:val="00AE4441"/>
    <w:rsid w:val="00AE4660"/>
    <w:rsid w:val="00AE5374"/>
    <w:rsid w:val="00AE546B"/>
    <w:rsid w:val="00AE5672"/>
    <w:rsid w:val="00AE646E"/>
    <w:rsid w:val="00AE65AD"/>
    <w:rsid w:val="00AE6688"/>
    <w:rsid w:val="00AE66FA"/>
    <w:rsid w:val="00AE797D"/>
    <w:rsid w:val="00AE7982"/>
    <w:rsid w:val="00AF0908"/>
    <w:rsid w:val="00AF1741"/>
    <w:rsid w:val="00AF1A65"/>
    <w:rsid w:val="00AF2654"/>
    <w:rsid w:val="00AF35BE"/>
    <w:rsid w:val="00AF39A0"/>
    <w:rsid w:val="00AF3EAC"/>
    <w:rsid w:val="00AF4982"/>
    <w:rsid w:val="00AF4EED"/>
    <w:rsid w:val="00AF4FA6"/>
    <w:rsid w:val="00AF52F0"/>
    <w:rsid w:val="00AF5F4B"/>
    <w:rsid w:val="00AF6E96"/>
    <w:rsid w:val="00AF6F4E"/>
    <w:rsid w:val="00AF7269"/>
    <w:rsid w:val="00AF75B7"/>
    <w:rsid w:val="00B0013B"/>
    <w:rsid w:val="00B00538"/>
    <w:rsid w:val="00B00648"/>
    <w:rsid w:val="00B0133D"/>
    <w:rsid w:val="00B01A22"/>
    <w:rsid w:val="00B01A70"/>
    <w:rsid w:val="00B01B25"/>
    <w:rsid w:val="00B01E45"/>
    <w:rsid w:val="00B01FB3"/>
    <w:rsid w:val="00B03A81"/>
    <w:rsid w:val="00B03A8A"/>
    <w:rsid w:val="00B0400F"/>
    <w:rsid w:val="00B04204"/>
    <w:rsid w:val="00B04832"/>
    <w:rsid w:val="00B04C5C"/>
    <w:rsid w:val="00B05088"/>
    <w:rsid w:val="00B05291"/>
    <w:rsid w:val="00B062CC"/>
    <w:rsid w:val="00B0723B"/>
    <w:rsid w:val="00B0746B"/>
    <w:rsid w:val="00B0750A"/>
    <w:rsid w:val="00B105A8"/>
    <w:rsid w:val="00B10640"/>
    <w:rsid w:val="00B10B35"/>
    <w:rsid w:val="00B10C3E"/>
    <w:rsid w:val="00B11368"/>
    <w:rsid w:val="00B130F8"/>
    <w:rsid w:val="00B1313F"/>
    <w:rsid w:val="00B1411E"/>
    <w:rsid w:val="00B148F8"/>
    <w:rsid w:val="00B15CD8"/>
    <w:rsid w:val="00B164F2"/>
    <w:rsid w:val="00B16668"/>
    <w:rsid w:val="00B16DAB"/>
    <w:rsid w:val="00B179ED"/>
    <w:rsid w:val="00B17FC2"/>
    <w:rsid w:val="00B20B9E"/>
    <w:rsid w:val="00B23295"/>
    <w:rsid w:val="00B234B8"/>
    <w:rsid w:val="00B236D5"/>
    <w:rsid w:val="00B248C0"/>
    <w:rsid w:val="00B24BE5"/>
    <w:rsid w:val="00B24C26"/>
    <w:rsid w:val="00B25156"/>
    <w:rsid w:val="00B2528C"/>
    <w:rsid w:val="00B25A2D"/>
    <w:rsid w:val="00B264DE"/>
    <w:rsid w:val="00B26665"/>
    <w:rsid w:val="00B26770"/>
    <w:rsid w:val="00B26E50"/>
    <w:rsid w:val="00B275AC"/>
    <w:rsid w:val="00B30122"/>
    <w:rsid w:val="00B30948"/>
    <w:rsid w:val="00B31460"/>
    <w:rsid w:val="00B314F4"/>
    <w:rsid w:val="00B31567"/>
    <w:rsid w:val="00B31C89"/>
    <w:rsid w:val="00B320D2"/>
    <w:rsid w:val="00B32AA5"/>
    <w:rsid w:val="00B32D64"/>
    <w:rsid w:val="00B32F58"/>
    <w:rsid w:val="00B33325"/>
    <w:rsid w:val="00B335D0"/>
    <w:rsid w:val="00B339FA"/>
    <w:rsid w:val="00B34C18"/>
    <w:rsid w:val="00B35D06"/>
    <w:rsid w:val="00B36265"/>
    <w:rsid w:val="00B37030"/>
    <w:rsid w:val="00B37CDA"/>
    <w:rsid w:val="00B40999"/>
    <w:rsid w:val="00B40A5F"/>
    <w:rsid w:val="00B40C9D"/>
    <w:rsid w:val="00B40DBF"/>
    <w:rsid w:val="00B412E2"/>
    <w:rsid w:val="00B41351"/>
    <w:rsid w:val="00B4249F"/>
    <w:rsid w:val="00B42F82"/>
    <w:rsid w:val="00B437E7"/>
    <w:rsid w:val="00B43836"/>
    <w:rsid w:val="00B4399D"/>
    <w:rsid w:val="00B43BAC"/>
    <w:rsid w:val="00B443CB"/>
    <w:rsid w:val="00B45529"/>
    <w:rsid w:val="00B460E1"/>
    <w:rsid w:val="00B4778D"/>
    <w:rsid w:val="00B47893"/>
    <w:rsid w:val="00B4798B"/>
    <w:rsid w:val="00B50748"/>
    <w:rsid w:val="00B524EE"/>
    <w:rsid w:val="00B52858"/>
    <w:rsid w:val="00B52DEB"/>
    <w:rsid w:val="00B53A59"/>
    <w:rsid w:val="00B53B13"/>
    <w:rsid w:val="00B53C52"/>
    <w:rsid w:val="00B53CC3"/>
    <w:rsid w:val="00B54F42"/>
    <w:rsid w:val="00B54F6B"/>
    <w:rsid w:val="00B55439"/>
    <w:rsid w:val="00B55741"/>
    <w:rsid w:val="00B56324"/>
    <w:rsid w:val="00B56AB7"/>
    <w:rsid w:val="00B56C77"/>
    <w:rsid w:val="00B57133"/>
    <w:rsid w:val="00B5776E"/>
    <w:rsid w:val="00B57903"/>
    <w:rsid w:val="00B57E73"/>
    <w:rsid w:val="00B57EF9"/>
    <w:rsid w:val="00B60110"/>
    <w:rsid w:val="00B6046D"/>
    <w:rsid w:val="00B606F0"/>
    <w:rsid w:val="00B60EAE"/>
    <w:rsid w:val="00B625D5"/>
    <w:rsid w:val="00B62864"/>
    <w:rsid w:val="00B6289A"/>
    <w:rsid w:val="00B62BB5"/>
    <w:rsid w:val="00B636CB"/>
    <w:rsid w:val="00B6591B"/>
    <w:rsid w:val="00B65E62"/>
    <w:rsid w:val="00B65FC5"/>
    <w:rsid w:val="00B66321"/>
    <w:rsid w:val="00B664DB"/>
    <w:rsid w:val="00B66670"/>
    <w:rsid w:val="00B669EF"/>
    <w:rsid w:val="00B66AF3"/>
    <w:rsid w:val="00B66C07"/>
    <w:rsid w:val="00B678B7"/>
    <w:rsid w:val="00B67AD0"/>
    <w:rsid w:val="00B67B06"/>
    <w:rsid w:val="00B67E5A"/>
    <w:rsid w:val="00B67EF2"/>
    <w:rsid w:val="00B702BF"/>
    <w:rsid w:val="00B70491"/>
    <w:rsid w:val="00B707FE"/>
    <w:rsid w:val="00B711E2"/>
    <w:rsid w:val="00B712C9"/>
    <w:rsid w:val="00B718AE"/>
    <w:rsid w:val="00B71A17"/>
    <w:rsid w:val="00B72889"/>
    <w:rsid w:val="00B72D65"/>
    <w:rsid w:val="00B72E5F"/>
    <w:rsid w:val="00B73BC1"/>
    <w:rsid w:val="00B73D14"/>
    <w:rsid w:val="00B74069"/>
    <w:rsid w:val="00B7472D"/>
    <w:rsid w:val="00B76B08"/>
    <w:rsid w:val="00B76CD1"/>
    <w:rsid w:val="00B770BD"/>
    <w:rsid w:val="00B77220"/>
    <w:rsid w:val="00B77F5A"/>
    <w:rsid w:val="00B80228"/>
    <w:rsid w:val="00B804F2"/>
    <w:rsid w:val="00B80C87"/>
    <w:rsid w:val="00B80E0A"/>
    <w:rsid w:val="00B814E3"/>
    <w:rsid w:val="00B81AB6"/>
    <w:rsid w:val="00B81E6A"/>
    <w:rsid w:val="00B82512"/>
    <w:rsid w:val="00B833D9"/>
    <w:rsid w:val="00B839D7"/>
    <w:rsid w:val="00B846DB"/>
    <w:rsid w:val="00B84EAA"/>
    <w:rsid w:val="00B858F2"/>
    <w:rsid w:val="00B87038"/>
    <w:rsid w:val="00B8717D"/>
    <w:rsid w:val="00B877D3"/>
    <w:rsid w:val="00B9039D"/>
    <w:rsid w:val="00B90FC0"/>
    <w:rsid w:val="00B90FFB"/>
    <w:rsid w:val="00B91127"/>
    <w:rsid w:val="00B912C3"/>
    <w:rsid w:val="00B9188A"/>
    <w:rsid w:val="00B918A0"/>
    <w:rsid w:val="00B92A0B"/>
    <w:rsid w:val="00B92C00"/>
    <w:rsid w:val="00B94C20"/>
    <w:rsid w:val="00B95679"/>
    <w:rsid w:val="00B9576D"/>
    <w:rsid w:val="00B9593D"/>
    <w:rsid w:val="00B96150"/>
    <w:rsid w:val="00B968EA"/>
    <w:rsid w:val="00B96B2A"/>
    <w:rsid w:val="00B96C46"/>
    <w:rsid w:val="00B96FD0"/>
    <w:rsid w:val="00B978EF"/>
    <w:rsid w:val="00BA1134"/>
    <w:rsid w:val="00BA117E"/>
    <w:rsid w:val="00BA15EC"/>
    <w:rsid w:val="00BA1B40"/>
    <w:rsid w:val="00BA1B42"/>
    <w:rsid w:val="00BA2079"/>
    <w:rsid w:val="00BA2164"/>
    <w:rsid w:val="00BA219E"/>
    <w:rsid w:val="00BA21F1"/>
    <w:rsid w:val="00BA2842"/>
    <w:rsid w:val="00BA2B07"/>
    <w:rsid w:val="00BA32CA"/>
    <w:rsid w:val="00BA4817"/>
    <w:rsid w:val="00BA597B"/>
    <w:rsid w:val="00BA5A9D"/>
    <w:rsid w:val="00BA636C"/>
    <w:rsid w:val="00BA6BFF"/>
    <w:rsid w:val="00BA750B"/>
    <w:rsid w:val="00BA758A"/>
    <w:rsid w:val="00BA7AFB"/>
    <w:rsid w:val="00BA7BE8"/>
    <w:rsid w:val="00BA7D6B"/>
    <w:rsid w:val="00BA7F45"/>
    <w:rsid w:val="00BB0210"/>
    <w:rsid w:val="00BB03D9"/>
    <w:rsid w:val="00BB062C"/>
    <w:rsid w:val="00BB0721"/>
    <w:rsid w:val="00BB0B9A"/>
    <w:rsid w:val="00BB129F"/>
    <w:rsid w:val="00BB155E"/>
    <w:rsid w:val="00BB16C3"/>
    <w:rsid w:val="00BB18EF"/>
    <w:rsid w:val="00BB1D26"/>
    <w:rsid w:val="00BB26F6"/>
    <w:rsid w:val="00BB29D7"/>
    <w:rsid w:val="00BB2C0A"/>
    <w:rsid w:val="00BB34AF"/>
    <w:rsid w:val="00BB35E5"/>
    <w:rsid w:val="00BB38C6"/>
    <w:rsid w:val="00BB4053"/>
    <w:rsid w:val="00BB51A5"/>
    <w:rsid w:val="00BB5858"/>
    <w:rsid w:val="00BB6311"/>
    <w:rsid w:val="00BB6C38"/>
    <w:rsid w:val="00BB7295"/>
    <w:rsid w:val="00BB7986"/>
    <w:rsid w:val="00BC03DA"/>
    <w:rsid w:val="00BC045D"/>
    <w:rsid w:val="00BC0611"/>
    <w:rsid w:val="00BC1066"/>
    <w:rsid w:val="00BC1388"/>
    <w:rsid w:val="00BC14CC"/>
    <w:rsid w:val="00BC1ACB"/>
    <w:rsid w:val="00BC1B85"/>
    <w:rsid w:val="00BC1BAF"/>
    <w:rsid w:val="00BC1FAC"/>
    <w:rsid w:val="00BC275A"/>
    <w:rsid w:val="00BC29E0"/>
    <w:rsid w:val="00BC2E5C"/>
    <w:rsid w:val="00BC30B2"/>
    <w:rsid w:val="00BC3242"/>
    <w:rsid w:val="00BC333F"/>
    <w:rsid w:val="00BC3AFD"/>
    <w:rsid w:val="00BC4080"/>
    <w:rsid w:val="00BC47E6"/>
    <w:rsid w:val="00BC4C67"/>
    <w:rsid w:val="00BC4E90"/>
    <w:rsid w:val="00BC51A8"/>
    <w:rsid w:val="00BC52C8"/>
    <w:rsid w:val="00BC53FB"/>
    <w:rsid w:val="00BC5B0A"/>
    <w:rsid w:val="00BC6019"/>
    <w:rsid w:val="00BC697D"/>
    <w:rsid w:val="00BC6EDC"/>
    <w:rsid w:val="00BC6FED"/>
    <w:rsid w:val="00BC707A"/>
    <w:rsid w:val="00BD030C"/>
    <w:rsid w:val="00BD0339"/>
    <w:rsid w:val="00BD0351"/>
    <w:rsid w:val="00BD0A91"/>
    <w:rsid w:val="00BD1983"/>
    <w:rsid w:val="00BD26AD"/>
    <w:rsid w:val="00BD2E9B"/>
    <w:rsid w:val="00BD321D"/>
    <w:rsid w:val="00BD3480"/>
    <w:rsid w:val="00BD3604"/>
    <w:rsid w:val="00BD3686"/>
    <w:rsid w:val="00BD4C07"/>
    <w:rsid w:val="00BD5824"/>
    <w:rsid w:val="00BD5C58"/>
    <w:rsid w:val="00BD648D"/>
    <w:rsid w:val="00BD663B"/>
    <w:rsid w:val="00BD6806"/>
    <w:rsid w:val="00BD7BDE"/>
    <w:rsid w:val="00BD7CA9"/>
    <w:rsid w:val="00BD7E90"/>
    <w:rsid w:val="00BE0380"/>
    <w:rsid w:val="00BE0822"/>
    <w:rsid w:val="00BE16A9"/>
    <w:rsid w:val="00BE1711"/>
    <w:rsid w:val="00BE2075"/>
    <w:rsid w:val="00BE20B4"/>
    <w:rsid w:val="00BE21D6"/>
    <w:rsid w:val="00BE2233"/>
    <w:rsid w:val="00BE3E73"/>
    <w:rsid w:val="00BE4A1C"/>
    <w:rsid w:val="00BE4A43"/>
    <w:rsid w:val="00BE4D6B"/>
    <w:rsid w:val="00BE4DD5"/>
    <w:rsid w:val="00BE53C2"/>
    <w:rsid w:val="00BE5EDB"/>
    <w:rsid w:val="00BE626E"/>
    <w:rsid w:val="00BE6543"/>
    <w:rsid w:val="00BE6B62"/>
    <w:rsid w:val="00BE7191"/>
    <w:rsid w:val="00BE7D2E"/>
    <w:rsid w:val="00BF002F"/>
    <w:rsid w:val="00BF00C3"/>
    <w:rsid w:val="00BF01C2"/>
    <w:rsid w:val="00BF0A35"/>
    <w:rsid w:val="00BF135C"/>
    <w:rsid w:val="00BF1BF9"/>
    <w:rsid w:val="00BF254E"/>
    <w:rsid w:val="00BF2B3B"/>
    <w:rsid w:val="00BF3301"/>
    <w:rsid w:val="00BF4554"/>
    <w:rsid w:val="00BF49B2"/>
    <w:rsid w:val="00BF5711"/>
    <w:rsid w:val="00BF59BD"/>
    <w:rsid w:val="00BF5C21"/>
    <w:rsid w:val="00BF5C63"/>
    <w:rsid w:val="00BF6393"/>
    <w:rsid w:val="00BF7762"/>
    <w:rsid w:val="00BF7A85"/>
    <w:rsid w:val="00C017AB"/>
    <w:rsid w:val="00C01A19"/>
    <w:rsid w:val="00C01E2C"/>
    <w:rsid w:val="00C0485A"/>
    <w:rsid w:val="00C04B22"/>
    <w:rsid w:val="00C04C13"/>
    <w:rsid w:val="00C04CC7"/>
    <w:rsid w:val="00C05051"/>
    <w:rsid w:val="00C052B4"/>
    <w:rsid w:val="00C05874"/>
    <w:rsid w:val="00C05BD7"/>
    <w:rsid w:val="00C0604A"/>
    <w:rsid w:val="00C072DF"/>
    <w:rsid w:val="00C1032B"/>
    <w:rsid w:val="00C11E68"/>
    <w:rsid w:val="00C12144"/>
    <w:rsid w:val="00C126E8"/>
    <w:rsid w:val="00C13564"/>
    <w:rsid w:val="00C13AA5"/>
    <w:rsid w:val="00C13B30"/>
    <w:rsid w:val="00C14012"/>
    <w:rsid w:val="00C14DEF"/>
    <w:rsid w:val="00C16E32"/>
    <w:rsid w:val="00C17352"/>
    <w:rsid w:val="00C17473"/>
    <w:rsid w:val="00C175D4"/>
    <w:rsid w:val="00C21C45"/>
    <w:rsid w:val="00C21F91"/>
    <w:rsid w:val="00C227B4"/>
    <w:rsid w:val="00C22FFF"/>
    <w:rsid w:val="00C23CED"/>
    <w:rsid w:val="00C2555E"/>
    <w:rsid w:val="00C25CE5"/>
    <w:rsid w:val="00C26A31"/>
    <w:rsid w:val="00C271C0"/>
    <w:rsid w:val="00C2720E"/>
    <w:rsid w:val="00C2730B"/>
    <w:rsid w:val="00C27957"/>
    <w:rsid w:val="00C27994"/>
    <w:rsid w:val="00C279E5"/>
    <w:rsid w:val="00C27D2B"/>
    <w:rsid w:val="00C304C5"/>
    <w:rsid w:val="00C30989"/>
    <w:rsid w:val="00C30B32"/>
    <w:rsid w:val="00C30E4F"/>
    <w:rsid w:val="00C3101F"/>
    <w:rsid w:val="00C31DCA"/>
    <w:rsid w:val="00C32753"/>
    <w:rsid w:val="00C335A5"/>
    <w:rsid w:val="00C33AD0"/>
    <w:rsid w:val="00C33C6E"/>
    <w:rsid w:val="00C33D2C"/>
    <w:rsid w:val="00C3428F"/>
    <w:rsid w:val="00C34313"/>
    <w:rsid w:val="00C354BE"/>
    <w:rsid w:val="00C3619A"/>
    <w:rsid w:val="00C364D2"/>
    <w:rsid w:val="00C36CE7"/>
    <w:rsid w:val="00C36E45"/>
    <w:rsid w:val="00C370C1"/>
    <w:rsid w:val="00C37BBD"/>
    <w:rsid w:val="00C40759"/>
    <w:rsid w:val="00C40D52"/>
    <w:rsid w:val="00C416C3"/>
    <w:rsid w:val="00C41850"/>
    <w:rsid w:val="00C419CB"/>
    <w:rsid w:val="00C42247"/>
    <w:rsid w:val="00C42855"/>
    <w:rsid w:val="00C42A28"/>
    <w:rsid w:val="00C433CA"/>
    <w:rsid w:val="00C4363D"/>
    <w:rsid w:val="00C438E3"/>
    <w:rsid w:val="00C43EED"/>
    <w:rsid w:val="00C44234"/>
    <w:rsid w:val="00C44510"/>
    <w:rsid w:val="00C44CE0"/>
    <w:rsid w:val="00C452D8"/>
    <w:rsid w:val="00C45731"/>
    <w:rsid w:val="00C45B6B"/>
    <w:rsid w:val="00C46144"/>
    <w:rsid w:val="00C46230"/>
    <w:rsid w:val="00C4662A"/>
    <w:rsid w:val="00C46888"/>
    <w:rsid w:val="00C47177"/>
    <w:rsid w:val="00C471A2"/>
    <w:rsid w:val="00C47443"/>
    <w:rsid w:val="00C47D7A"/>
    <w:rsid w:val="00C50B0C"/>
    <w:rsid w:val="00C51B28"/>
    <w:rsid w:val="00C51B32"/>
    <w:rsid w:val="00C51D8D"/>
    <w:rsid w:val="00C52AB9"/>
    <w:rsid w:val="00C52DB8"/>
    <w:rsid w:val="00C530F3"/>
    <w:rsid w:val="00C536C2"/>
    <w:rsid w:val="00C53F2D"/>
    <w:rsid w:val="00C5444E"/>
    <w:rsid w:val="00C547A6"/>
    <w:rsid w:val="00C54E93"/>
    <w:rsid w:val="00C556E4"/>
    <w:rsid w:val="00C55E35"/>
    <w:rsid w:val="00C55E50"/>
    <w:rsid w:val="00C568B1"/>
    <w:rsid w:val="00C56E85"/>
    <w:rsid w:val="00C57E4C"/>
    <w:rsid w:val="00C60BEB"/>
    <w:rsid w:val="00C60CEE"/>
    <w:rsid w:val="00C60FAB"/>
    <w:rsid w:val="00C6114A"/>
    <w:rsid w:val="00C6119E"/>
    <w:rsid w:val="00C6188E"/>
    <w:rsid w:val="00C62286"/>
    <w:rsid w:val="00C622ED"/>
    <w:rsid w:val="00C622F7"/>
    <w:rsid w:val="00C634F9"/>
    <w:rsid w:val="00C63CCB"/>
    <w:rsid w:val="00C63D6D"/>
    <w:rsid w:val="00C63DBA"/>
    <w:rsid w:val="00C63DCB"/>
    <w:rsid w:val="00C64E0C"/>
    <w:rsid w:val="00C66253"/>
    <w:rsid w:val="00C6695F"/>
    <w:rsid w:val="00C66BA8"/>
    <w:rsid w:val="00C67417"/>
    <w:rsid w:val="00C679ED"/>
    <w:rsid w:val="00C67BBE"/>
    <w:rsid w:val="00C67E64"/>
    <w:rsid w:val="00C704A2"/>
    <w:rsid w:val="00C7099E"/>
    <w:rsid w:val="00C714FF"/>
    <w:rsid w:val="00C71546"/>
    <w:rsid w:val="00C72552"/>
    <w:rsid w:val="00C73266"/>
    <w:rsid w:val="00C73EB0"/>
    <w:rsid w:val="00C742DB"/>
    <w:rsid w:val="00C745A5"/>
    <w:rsid w:val="00C74A40"/>
    <w:rsid w:val="00C74EDC"/>
    <w:rsid w:val="00C7517F"/>
    <w:rsid w:val="00C76163"/>
    <w:rsid w:val="00C777E3"/>
    <w:rsid w:val="00C77C48"/>
    <w:rsid w:val="00C77C79"/>
    <w:rsid w:val="00C77EF7"/>
    <w:rsid w:val="00C77F0A"/>
    <w:rsid w:val="00C80F82"/>
    <w:rsid w:val="00C8138F"/>
    <w:rsid w:val="00C8194E"/>
    <w:rsid w:val="00C82738"/>
    <w:rsid w:val="00C831C2"/>
    <w:rsid w:val="00C843E0"/>
    <w:rsid w:val="00C84903"/>
    <w:rsid w:val="00C84F6B"/>
    <w:rsid w:val="00C85475"/>
    <w:rsid w:val="00C8554D"/>
    <w:rsid w:val="00C859DC"/>
    <w:rsid w:val="00C86294"/>
    <w:rsid w:val="00C864EB"/>
    <w:rsid w:val="00C86799"/>
    <w:rsid w:val="00C86D70"/>
    <w:rsid w:val="00C87671"/>
    <w:rsid w:val="00C901B7"/>
    <w:rsid w:val="00C908CD"/>
    <w:rsid w:val="00C9096E"/>
    <w:rsid w:val="00C90E0B"/>
    <w:rsid w:val="00C9195B"/>
    <w:rsid w:val="00C92296"/>
    <w:rsid w:val="00C924AC"/>
    <w:rsid w:val="00C938DE"/>
    <w:rsid w:val="00C94DCF"/>
    <w:rsid w:val="00C950CF"/>
    <w:rsid w:val="00C9551F"/>
    <w:rsid w:val="00C95892"/>
    <w:rsid w:val="00C95C6A"/>
    <w:rsid w:val="00C95C92"/>
    <w:rsid w:val="00C96443"/>
    <w:rsid w:val="00C96570"/>
    <w:rsid w:val="00C96646"/>
    <w:rsid w:val="00C96942"/>
    <w:rsid w:val="00C96ECD"/>
    <w:rsid w:val="00C975A1"/>
    <w:rsid w:val="00CA08CF"/>
    <w:rsid w:val="00CA138F"/>
    <w:rsid w:val="00CA160B"/>
    <w:rsid w:val="00CA2948"/>
    <w:rsid w:val="00CA2A16"/>
    <w:rsid w:val="00CA2A71"/>
    <w:rsid w:val="00CA348F"/>
    <w:rsid w:val="00CA3847"/>
    <w:rsid w:val="00CA3E98"/>
    <w:rsid w:val="00CA3F68"/>
    <w:rsid w:val="00CA4AF5"/>
    <w:rsid w:val="00CA4D32"/>
    <w:rsid w:val="00CA537F"/>
    <w:rsid w:val="00CA560E"/>
    <w:rsid w:val="00CA6578"/>
    <w:rsid w:val="00CA71A4"/>
    <w:rsid w:val="00CA7C64"/>
    <w:rsid w:val="00CB053A"/>
    <w:rsid w:val="00CB09BF"/>
    <w:rsid w:val="00CB0BD4"/>
    <w:rsid w:val="00CB0CB0"/>
    <w:rsid w:val="00CB17E0"/>
    <w:rsid w:val="00CB2213"/>
    <w:rsid w:val="00CB2295"/>
    <w:rsid w:val="00CB272F"/>
    <w:rsid w:val="00CB2B8F"/>
    <w:rsid w:val="00CB2D55"/>
    <w:rsid w:val="00CB2E41"/>
    <w:rsid w:val="00CB31D3"/>
    <w:rsid w:val="00CB350B"/>
    <w:rsid w:val="00CB4395"/>
    <w:rsid w:val="00CB44ED"/>
    <w:rsid w:val="00CB480D"/>
    <w:rsid w:val="00CB4E59"/>
    <w:rsid w:val="00CB4F92"/>
    <w:rsid w:val="00CB4FBE"/>
    <w:rsid w:val="00CB6089"/>
    <w:rsid w:val="00CB61C6"/>
    <w:rsid w:val="00CB6234"/>
    <w:rsid w:val="00CB7182"/>
    <w:rsid w:val="00CB7945"/>
    <w:rsid w:val="00CB7D8C"/>
    <w:rsid w:val="00CB7FB2"/>
    <w:rsid w:val="00CC030E"/>
    <w:rsid w:val="00CC0517"/>
    <w:rsid w:val="00CC06D2"/>
    <w:rsid w:val="00CC06F7"/>
    <w:rsid w:val="00CC12FA"/>
    <w:rsid w:val="00CC15DC"/>
    <w:rsid w:val="00CC196A"/>
    <w:rsid w:val="00CC1AA1"/>
    <w:rsid w:val="00CC1C51"/>
    <w:rsid w:val="00CC1E73"/>
    <w:rsid w:val="00CC21ED"/>
    <w:rsid w:val="00CC2713"/>
    <w:rsid w:val="00CC2E12"/>
    <w:rsid w:val="00CC3E2B"/>
    <w:rsid w:val="00CC4196"/>
    <w:rsid w:val="00CC41A8"/>
    <w:rsid w:val="00CC41D5"/>
    <w:rsid w:val="00CC44CB"/>
    <w:rsid w:val="00CC49B5"/>
    <w:rsid w:val="00CC5CB3"/>
    <w:rsid w:val="00CC6077"/>
    <w:rsid w:val="00CC60FC"/>
    <w:rsid w:val="00CC63ED"/>
    <w:rsid w:val="00CC700A"/>
    <w:rsid w:val="00CC77C3"/>
    <w:rsid w:val="00CC78B5"/>
    <w:rsid w:val="00CD0238"/>
    <w:rsid w:val="00CD0512"/>
    <w:rsid w:val="00CD0CF4"/>
    <w:rsid w:val="00CD0D6E"/>
    <w:rsid w:val="00CD14E0"/>
    <w:rsid w:val="00CD1E08"/>
    <w:rsid w:val="00CD1F15"/>
    <w:rsid w:val="00CD2541"/>
    <w:rsid w:val="00CD286C"/>
    <w:rsid w:val="00CD3671"/>
    <w:rsid w:val="00CD398B"/>
    <w:rsid w:val="00CD4793"/>
    <w:rsid w:val="00CD49CA"/>
    <w:rsid w:val="00CD4D88"/>
    <w:rsid w:val="00CD4E71"/>
    <w:rsid w:val="00CD6011"/>
    <w:rsid w:val="00CD6941"/>
    <w:rsid w:val="00CD7582"/>
    <w:rsid w:val="00CD7D61"/>
    <w:rsid w:val="00CE007D"/>
    <w:rsid w:val="00CE0E1E"/>
    <w:rsid w:val="00CE12AF"/>
    <w:rsid w:val="00CE1332"/>
    <w:rsid w:val="00CE1B5F"/>
    <w:rsid w:val="00CE1D11"/>
    <w:rsid w:val="00CE4087"/>
    <w:rsid w:val="00CE48A9"/>
    <w:rsid w:val="00CE4F17"/>
    <w:rsid w:val="00CE5123"/>
    <w:rsid w:val="00CE5A25"/>
    <w:rsid w:val="00CE6B89"/>
    <w:rsid w:val="00CE6BF5"/>
    <w:rsid w:val="00CE7943"/>
    <w:rsid w:val="00CF0020"/>
    <w:rsid w:val="00CF01C3"/>
    <w:rsid w:val="00CF07C2"/>
    <w:rsid w:val="00CF0FFA"/>
    <w:rsid w:val="00CF23FE"/>
    <w:rsid w:val="00CF28DE"/>
    <w:rsid w:val="00CF3B01"/>
    <w:rsid w:val="00CF426C"/>
    <w:rsid w:val="00CF49F1"/>
    <w:rsid w:val="00CF5303"/>
    <w:rsid w:val="00CF57D6"/>
    <w:rsid w:val="00CF596B"/>
    <w:rsid w:val="00CF62D2"/>
    <w:rsid w:val="00CF67E2"/>
    <w:rsid w:val="00CF68D5"/>
    <w:rsid w:val="00CF68EA"/>
    <w:rsid w:val="00CF7FF2"/>
    <w:rsid w:val="00D00283"/>
    <w:rsid w:val="00D002BE"/>
    <w:rsid w:val="00D0033E"/>
    <w:rsid w:val="00D00601"/>
    <w:rsid w:val="00D00BAF"/>
    <w:rsid w:val="00D027FF"/>
    <w:rsid w:val="00D034C9"/>
    <w:rsid w:val="00D03D10"/>
    <w:rsid w:val="00D04B7D"/>
    <w:rsid w:val="00D04ED5"/>
    <w:rsid w:val="00D055B7"/>
    <w:rsid w:val="00D056E6"/>
    <w:rsid w:val="00D06092"/>
    <w:rsid w:val="00D06DC5"/>
    <w:rsid w:val="00D06ED1"/>
    <w:rsid w:val="00D07022"/>
    <w:rsid w:val="00D071C2"/>
    <w:rsid w:val="00D0763D"/>
    <w:rsid w:val="00D077CB"/>
    <w:rsid w:val="00D07B23"/>
    <w:rsid w:val="00D1086C"/>
    <w:rsid w:val="00D10A7F"/>
    <w:rsid w:val="00D110F1"/>
    <w:rsid w:val="00D11597"/>
    <w:rsid w:val="00D11BB0"/>
    <w:rsid w:val="00D12171"/>
    <w:rsid w:val="00D12FBC"/>
    <w:rsid w:val="00D13943"/>
    <w:rsid w:val="00D13B6D"/>
    <w:rsid w:val="00D13CD9"/>
    <w:rsid w:val="00D13D98"/>
    <w:rsid w:val="00D13FA6"/>
    <w:rsid w:val="00D1404D"/>
    <w:rsid w:val="00D1421A"/>
    <w:rsid w:val="00D14AF9"/>
    <w:rsid w:val="00D14C9B"/>
    <w:rsid w:val="00D14FB5"/>
    <w:rsid w:val="00D15492"/>
    <w:rsid w:val="00D1589C"/>
    <w:rsid w:val="00D16013"/>
    <w:rsid w:val="00D160B2"/>
    <w:rsid w:val="00D16365"/>
    <w:rsid w:val="00D16433"/>
    <w:rsid w:val="00D17D73"/>
    <w:rsid w:val="00D17DBB"/>
    <w:rsid w:val="00D205DE"/>
    <w:rsid w:val="00D20919"/>
    <w:rsid w:val="00D20DA5"/>
    <w:rsid w:val="00D20E40"/>
    <w:rsid w:val="00D20EB1"/>
    <w:rsid w:val="00D20F52"/>
    <w:rsid w:val="00D2109B"/>
    <w:rsid w:val="00D211F4"/>
    <w:rsid w:val="00D21386"/>
    <w:rsid w:val="00D21F98"/>
    <w:rsid w:val="00D220D6"/>
    <w:rsid w:val="00D22B75"/>
    <w:rsid w:val="00D22E32"/>
    <w:rsid w:val="00D22F2C"/>
    <w:rsid w:val="00D2439C"/>
    <w:rsid w:val="00D24B80"/>
    <w:rsid w:val="00D254C0"/>
    <w:rsid w:val="00D257C8"/>
    <w:rsid w:val="00D25F1C"/>
    <w:rsid w:val="00D2602A"/>
    <w:rsid w:val="00D2607A"/>
    <w:rsid w:val="00D2626D"/>
    <w:rsid w:val="00D26528"/>
    <w:rsid w:val="00D26739"/>
    <w:rsid w:val="00D26EF8"/>
    <w:rsid w:val="00D27ACC"/>
    <w:rsid w:val="00D3071B"/>
    <w:rsid w:val="00D30809"/>
    <w:rsid w:val="00D30A3D"/>
    <w:rsid w:val="00D30BE3"/>
    <w:rsid w:val="00D30D2A"/>
    <w:rsid w:val="00D30D35"/>
    <w:rsid w:val="00D30D92"/>
    <w:rsid w:val="00D3138E"/>
    <w:rsid w:val="00D313C4"/>
    <w:rsid w:val="00D31573"/>
    <w:rsid w:val="00D31738"/>
    <w:rsid w:val="00D317B7"/>
    <w:rsid w:val="00D31898"/>
    <w:rsid w:val="00D32D49"/>
    <w:rsid w:val="00D32EE4"/>
    <w:rsid w:val="00D33527"/>
    <w:rsid w:val="00D335E5"/>
    <w:rsid w:val="00D33A6B"/>
    <w:rsid w:val="00D33C9B"/>
    <w:rsid w:val="00D33D32"/>
    <w:rsid w:val="00D3489F"/>
    <w:rsid w:val="00D351E3"/>
    <w:rsid w:val="00D3534D"/>
    <w:rsid w:val="00D35475"/>
    <w:rsid w:val="00D35EB2"/>
    <w:rsid w:val="00D36184"/>
    <w:rsid w:val="00D3630D"/>
    <w:rsid w:val="00D36B16"/>
    <w:rsid w:val="00D36C52"/>
    <w:rsid w:val="00D36FC7"/>
    <w:rsid w:val="00D3783E"/>
    <w:rsid w:val="00D37BA6"/>
    <w:rsid w:val="00D4026D"/>
    <w:rsid w:val="00D4092B"/>
    <w:rsid w:val="00D40D5B"/>
    <w:rsid w:val="00D41155"/>
    <w:rsid w:val="00D412EC"/>
    <w:rsid w:val="00D413C5"/>
    <w:rsid w:val="00D418D3"/>
    <w:rsid w:val="00D4194F"/>
    <w:rsid w:val="00D41954"/>
    <w:rsid w:val="00D42957"/>
    <w:rsid w:val="00D42A26"/>
    <w:rsid w:val="00D42F05"/>
    <w:rsid w:val="00D42F7A"/>
    <w:rsid w:val="00D434BE"/>
    <w:rsid w:val="00D444A2"/>
    <w:rsid w:val="00D44F6A"/>
    <w:rsid w:val="00D455A7"/>
    <w:rsid w:val="00D45B00"/>
    <w:rsid w:val="00D4638A"/>
    <w:rsid w:val="00D46F5B"/>
    <w:rsid w:val="00D4706A"/>
    <w:rsid w:val="00D4750E"/>
    <w:rsid w:val="00D47625"/>
    <w:rsid w:val="00D4764C"/>
    <w:rsid w:val="00D47C4E"/>
    <w:rsid w:val="00D47C5E"/>
    <w:rsid w:val="00D5007C"/>
    <w:rsid w:val="00D50B67"/>
    <w:rsid w:val="00D513DB"/>
    <w:rsid w:val="00D514C0"/>
    <w:rsid w:val="00D51D70"/>
    <w:rsid w:val="00D52920"/>
    <w:rsid w:val="00D529A9"/>
    <w:rsid w:val="00D52AB5"/>
    <w:rsid w:val="00D53032"/>
    <w:rsid w:val="00D533C9"/>
    <w:rsid w:val="00D55011"/>
    <w:rsid w:val="00D55DC6"/>
    <w:rsid w:val="00D564D6"/>
    <w:rsid w:val="00D56E1E"/>
    <w:rsid w:val="00D56F18"/>
    <w:rsid w:val="00D573E8"/>
    <w:rsid w:val="00D61441"/>
    <w:rsid w:val="00D6226C"/>
    <w:rsid w:val="00D626FD"/>
    <w:rsid w:val="00D62751"/>
    <w:rsid w:val="00D62AA5"/>
    <w:rsid w:val="00D62F37"/>
    <w:rsid w:val="00D63949"/>
    <w:rsid w:val="00D650A9"/>
    <w:rsid w:val="00D65D79"/>
    <w:rsid w:val="00D660B4"/>
    <w:rsid w:val="00D66161"/>
    <w:rsid w:val="00D66818"/>
    <w:rsid w:val="00D66A49"/>
    <w:rsid w:val="00D673C7"/>
    <w:rsid w:val="00D67B1A"/>
    <w:rsid w:val="00D67C92"/>
    <w:rsid w:val="00D70F56"/>
    <w:rsid w:val="00D711B3"/>
    <w:rsid w:val="00D719C8"/>
    <w:rsid w:val="00D71A7C"/>
    <w:rsid w:val="00D7208B"/>
    <w:rsid w:val="00D72846"/>
    <w:rsid w:val="00D72CEE"/>
    <w:rsid w:val="00D73B55"/>
    <w:rsid w:val="00D74198"/>
    <w:rsid w:val="00D745FD"/>
    <w:rsid w:val="00D74CE6"/>
    <w:rsid w:val="00D754BE"/>
    <w:rsid w:val="00D762BD"/>
    <w:rsid w:val="00D7644A"/>
    <w:rsid w:val="00D802BF"/>
    <w:rsid w:val="00D80B6B"/>
    <w:rsid w:val="00D80FFF"/>
    <w:rsid w:val="00D81199"/>
    <w:rsid w:val="00D811B2"/>
    <w:rsid w:val="00D8231F"/>
    <w:rsid w:val="00D824C9"/>
    <w:rsid w:val="00D827D7"/>
    <w:rsid w:val="00D82B7A"/>
    <w:rsid w:val="00D82F0D"/>
    <w:rsid w:val="00D84AF8"/>
    <w:rsid w:val="00D84D48"/>
    <w:rsid w:val="00D84E21"/>
    <w:rsid w:val="00D860F7"/>
    <w:rsid w:val="00D86D05"/>
    <w:rsid w:val="00D87624"/>
    <w:rsid w:val="00D87635"/>
    <w:rsid w:val="00D876D6"/>
    <w:rsid w:val="00D87C69"/>
    <w:rsid w:val="00D90093"/>
    <w:rsid w:val="00D9020A"/>
    <w:rsid w:val="00D9030A"/>
    <w:rsid w:val="00D908C6"/>
    <w:rsid w:val="00D90A6A"/>
    <w:rsid w:val="00D90B35"/>
    <w:rsid w:val="00D90CEB"/>
    <w:rsid w:val="00D90ED4"/>
    <w:rsid w:val="00D913B1"/>
    <w:rsid w:val="00D917D2"/>
    <w:rsid w:val="00D93231"/>
    <w:rsid w:val="00D93476"/>
    <w:rsid w:val="00D93869"/>
    <w:rsid w:val="00D93AFC"/>
    <w:rsid w:val="00D93BDE"/>
    <w:rsid w:val="00D9407E"/>
    <w:rsid w:val="00D941F9"/>
    <w:rsid w:val="00D944BC"/>
    <w:rsid w:val="00D94A4E"/>
    <w:rsid w:val="00D9546B"/>
    <w:rsid w:val="00D95C87"/>
    <w:rsid w:val="00D95E1F"/>
    <w:rsid w:val="00D96463"/>
    <w:rsid w:val="00D96554"/>
    <w:rsid w:val="00D96B91"/>
    <w:rsid w:val="00DA254D"/>
    <w:rsid w:val="00DA4189"/>
    <w:rsid w:val="00DA4457"/>
    <w:rsid w:val="00DA4905"/>
    <w:rsid w:val="00DA494C"/>
    <w:rsid w:val="00DA5103"/>
    <w:rsid w:val="00DA5357"/>
    <w:rsid w:val="00DA54C3"/>
    <w:rsid w:val="00DA5E8B"/>
    <w:rsid w:val="00DA5FBC"/>
    <w:rsid w:val="00DA764E"/>
    <w:rsid w:val="00DA766C"/>
    <w:rsid w:val="00DA776D"/>
    <w:rsid w:val="00DB0233"/>
    <w:rsid w:val="00DB062B"/>
    <w:rsid w:val="00DB0857"/>
    <w:rsid w:val="00DB0A27"/>
    <w:rsid w:val="00DB0D99"/>
    <w:rsid w:val="00DB0F62"/>
    <w:rsid w:val="00DB28A5"/>
    <w:rsid w:val="00DB324B"/>
    <w:rsid w:val="00DB34D9"/>
    <w:rsid w:val="00DB3B74"/>
    <w:rsid w:val="00DB3CB2"/>
    <w:rsid w:val="00DB3FAB"/>
    <w:rsid w:val="00DB43F4"/>
    <w:rsid w:val="00DB4A38"/>
    <w:rsid w:val="00DB4E93"/>
    <w:rsid w:val="00DB6040"/>
    <w:rsid w:val="00DB6502"/>
    <w:rsid w:val="00DB6525"/>
    <w:rsid w:val="00DB7176"/>
    <w:rsid w:val="00DB7441"/>
    <w:rsid w:val="00DB76AC"/>
    <w:rsid w:val="00DB7B18"/>
    <w:rsid w:val="00DC031C"/>
    <w:rsid w:val="00DC093A"/>
    <w:rsid w:val="00DC0C91"/>
    <w:rsid w:val="00DC0ED0"/>
    <w:rsid w:val="00DC101D"/>
    <w:rsid w:val="00DC1CFA"/>
    <w:rsid w:val="00DC2327"/>
    <w:rsid w:val="00DC3983"/>
    <w:rsid w:val="00DC4766"/>
    <w:rsid w:val="00DC514E"/>
    <w:rsid w:val="00DC63B6"/>
    <w:rsid w:val="00DC6765"/>
    <w:rsid w:val="00DC6987"/>
    <w:rsid w:val="00DC70F5"/>
    <w:rsid w:val="00DC7B88"/>
    <w:rsid w:val="00DC7F69"/>
    <w:rsid w:val="00DD03DA"/>
    <w:rsid w:val="00DD0596"/>
    <w:rsid w:val="00DD1B69"/>
    <w:rsid w:val="00DD1F9E"/>
    <w:rsid w:val="00DD1FF1"/>
    <w:rsid w:val="00DD2487"/>
    <w:rsid w:val="00DD278D"/>
    <w:rsid w:val="00DD2F0B"/>
    <w:rsid w:val="00DD330A"/>
    <w:rsid w:val="00DD3AB7"/>
    <w:rsid w:val="00DD4986"/>
    <w:rsid w:val="00DD4DEE"/>
    <w:rsid w:val="00DD4EB3"/>
    <w:rsid w:val="00DD5A0E"/>
    <w:rsid w:val="00DD5DDE"/>
    <w:rsid w:val="00DD60A2"/>
    <w:rsid w:val="00DD6DC1"/>
    <w:rsid w:val="00DD7EEE"/>
    <w:rsid w:val="00DE039F"/>
    <w:rsid w:val="00DE0F90"/>
    <w:rsid w:val="00DE108D"/>
    <w:rsid w:val="00DE1444"/>
    <w:rsid w:val="00DE146A"/>
    <w:rsid w:val="00DE170E"/>
    <w:rsid w:val="00DE1F51"/>
    <w:rsid w:val="00DE2630"/>
    <w:rsid w:val="00DE28EA"/>
    <w:rsid w:val="00DE2F0B"/>
    <w:rsid w:val="00DE34DC"/>
    <w:rsid w:val="00DE3FBF"/>
    <w:rsid w:val="00DE4F88"/>
    <w:rsid w:val="00DE5142"/>
    <w:rsid w:val="00DE6126"/>
    <w:rsid w:val="00DE73D6"/>
    <w:rsid w:val="00DE7A1C"/>
    <w:rsid w:val="00DF06A4"/>
    <w:rsid w:val="00DF0992"/>
    <w:rsid w:val="00DF0F08"/>
    <w:rsid w:val="00DF0FC2"/>
    <w:rsid w:val="00DF116A"/>
    <w:rsid w:val="00DF1CD1"/>
    <w:rsid w:val="00DF1E23"/>
    <w:rsid w:val="00DF2776"/>
    <w:rsid w:val="00DF2807"/>
    <w:rsid w:val="00DF317A"/>
    <w:rsid w:val="00DF4A23"/>
    <w:rsid w:val="00DF4F10"/>
    <w:rsid w:val="00DF526E"/>
    <w:rsid w:val="00DF61B7"/>
    <w:rsid w:val="00DF66F2"/>
    <w:rsid w:val="00DF73DD"/>
    <w:rsid w:val="00DF7ADA"/>
    <w:rsid w:val="00DF7F76"/>
    <w:rsid w:val="00E00734"/>
    <w:rsid w:val="00E0083B"/>
    <w:rsid w:val="00E0093E"/>
    <w:rsid w:val="00E0133B"/>
    <w:rsid w:val="00E01430"/>
    <w:rsid w:val="00E0200D"/>
    <w:rsid w:val="00E0251A"/>
    <w:rsid w:val="00E0259E"/>
    <w:rsid w:val="00E02783"/>
    <w:rsid w:val="00E031C6"/>
    <w:rsid w:val="00E03209"/>
    <w:rsid w:val="00E034BE"/>
    <w:rsid w:val="00E03DA1"/>
    <w:rsid w:val="00E04587"/>
    <w:rsid w:val="00E04BAE"/>
    <w:rsid w:val="00E04DE6"/>
    <w:rsid w:val="00E05384"/>
    <w:rsid w:val="00E06172"/>
    <w:rsid w:val="00E0622A"/>
    <w:rsid w:val="00E073CF"/>
    <w:rsid w:val="00E0747E"/>
    <w:rsid w:val="00E07650"/>
    <w:rsid w:val="00E07925"/>
    <w:rsid w:val="00E07BF9"/>
    <w:rsid w:val="00E1002A"/>
    <w:rsid w:val="00E10069"/>
    <w:rsid w:val="00E11387"/>
    <w:rsid w:val="00E11920"/>
    <w:rsid w:val="00E11B46"/>
    <w:rsid w:val="00E12735"/>
    <w:rsid w:val="00E12910"/>
    <w:rsid w:val="00E12B86"/>
    <w:rsid w:val="00E13892"/>
    <w:rsid w:val="00E13926"/>
    <w:rsid w:val="00E14057"/>
    <w:rsid w:val="00E1422A"/>
    <w:rsid w:val="00E1641B"/>
    <w:rsid w:val="00E165AC"/>
    <w:rsid w:val="00E16671"/>
    <w:rsid w:val="00E167D8"/>
    <w:rsid w:val="00E17AED"/>
    <w:rsid w:val="00E201D5"/>
    <w:rsid w:val="00E20209"/>
    <w:rsid w:val="00E207C4"/>
    <w:rsid w:val="00E20F3F"/>
    <w:rsid w:val="00E20F4F"/>
    <w:rsid w:val="00E213C7"/>
    <w:rsid w:val="00E213C8"/>
    <w:rsid w:val="00E214FE"/>
    <w:rsid w:val="00E2167D"/>
    <w:rsid w:val="00E2297B"/>
    <w:rsid w:val="00E22AA7"/>
    <w:rsid w:val="00E22AC0"/>
    <w:rsid w:val="00E22E55"/>
    <w:rsid w:val="00E23327"/>
    <w:rsid w:val="00E23A2E"/>
    <w:rsid w:val="00E2482F"/>
    <w:rsid w:val="00E252B7"/>
    <w:rsid w:val="00E258D3"/>
    <w:rsid w:val="00E25F7F"/>
    <w:rsid w:val="00E2687A"/>
    <w:rsid w:val="00E26889"/>
    <w:rsid w:val="00E26A23"/>
    <w:rsid w:val="00E27565"/>
    <w:rsid w:val="00E279E1"/>
    <w:rsid w:val="00E301A8"/>
    <w:rsid w:val="00E302CF"/>
    <w:rsid w:val="00E306E6"/>
    <w:rsid w:val="00E3083F"/>
    <w:rsid w:val="00E31545"/>
    <w:rsid w:val="00E32374"/>
    <w:rsid w:val="00E33519"/>
    <w:rsid w:val="00E35C15"/>
    <w:rsid w:val="00E35F1F"/>
    <w:rsid w:val="00E3627D"/>
    <w:rsid w:val="00E365DE"/>
    <w:rsid w:val="00E3676C"/>
    <w:rsid w:val="00E367F7"/>
    <w:rsid w:val="00E36BE1"/>
    <w:rsid w:val="00E36DD0"/>
    <w:rsid w:val="00E372A6"/>
    <w:rsid w:val="00E37B76"/>
    <w:rsid w:val="00E37C1C"/>
    <w:rsid w:val="00E400CB"/>
    <w:rsid w:val="00E41372"/>
    <w:rsid w:val="00E42C1B"/>
    <w:rsid w:val="00E443D7"/>
    <w:rsid w:val="00E44BB6"/>
    <w:rsid w:val="00E450F6"/>
    <w:rsid w:val="00E455DC"/>
    <w:rsid w:val="00E459AE"/>
    <w:rsid w:val="00E46D0A"/>
    <w:rsid w:val="00E47DAA"/>
    <w:rsid w:val="00E500D6"/>
    <w:rsid w:val="00E5109A"/>
    <w:rsid w:val="00E510C2"/>
    <w:rsid w:val="00E5204A"/>
    <w:rsid w:val="00E525F2"/>
    <w:rsid w:val="00E531A3"/>
    <w:rsid w:val="00E53642"/>
    <w:rsid w:val="00E54772"/>
    <w:rsid w:val="00E5497C"/>
    <w:rsid w:val="00E54E6F"/>
    <w:rsid w:val="00E557CA"/>
    <w:rsid w:val="00E559B2"/>
    <w:rsid w:val="00E55E34"/>
    <w:rsid w:val="00E55FC9"/>
    <w:rsid w:val="00E562BB"/>
    <w:rsid w:val="00E56367"/>
    <w:rsid w:val="00E56AAB"/>
    <w:rsid w:val="00E56BFC"/>
    <w:rsid w:val="00E5712F"/>
    <w:rsid w:val="00E57379"/>
    <w:rsid w:val="00E57C16"/>
    <w:rsid w:val="00E60225"/>
    <w:rsid w:val="00E60640"/>
    <w:rsid w:val="00E608A9"/>
    <w:rsid w:val="00E61AA5"/>
    <w:rsid w:val="00E61B76"/>
    <w:rsid w:val="00E63273"/>
    <w:rsid w:val="00E63DFB"/>
    <w:rsid w:val="00E64096"/>
    <w:rsid w:val="00E64545"/>
    <w:rsid w:val="00E64C81"/>
    <w:rsid w:val="00E64C91"/>
    <w:rsid w:val="00E6504E"/>
    <w:rsid w:val="00E65151"/>
    <w:rsid w:val="00E6527C"/>
    <w:rsid w:val="00E65863"/>
    <w:rsid w:val="00E65D10"/>
    <w:rsid w:val="00E668CE"/>
    <w:rsid w:val="00E66972"/>
    <w:rsid w:val="00E6700C"/>
    <w:rsid w:val="00E6730E"/>
    <w:rsid w:val="00E67C09"/>
    <w:rsid w:val="00E707D8"/>
    <w:rsid w:val="00E709AD"/>
    <w:rsid w:val="00E70B7E"/>
    <w:rsid w:val="00E71CB0"/>
    <w:rsid w:val="00E72B57"/>
    <w:rsid w:val="00E73376"/>
    <w:rsid w:val="00E74769"/>
    <w:rsid w:val="00E74BEF"/>
    <w:rsid w:val="00E752E5"/>
    <w:rsid w:val="00E752FE"/>
    <w:rsid w:val="00E75501"/>
    <w:rsid w:val="00E75921"/>
    <w:rsid w:val="00E760E2"/>
    <w:rsid w:val="00E76343"/>
    <w:rsid w:val="00E76914"/>
    <w:rsid w:val="00E7710C"/>
    <w:rsid w:val="00E7715E"/>
    <w:rsid w:val="00E772CB"/>
    <w:rsid w:val="00E77C17"/>
    <w:rsid w:val="00E80836"/>
    <w:rsid w:val="00E80E8D"/>
    <w:rsid w:val="00E80F6A"/>
    <w:rsid w:val="00E814D0"/>
    <w:rsid w:val="00E81632"/>
    <w:rsid w:val="00E81BEC"/>
    <w:rsid w:val="00E82444"/>
    <w:rsid w:val="00E83FC4"/>
    <w:rsid w:val="00E83FCF"/>
    <w:rsid w:val="00E842F2"/>
    <w:rsid w:val="00E84924"/>
    <w:rsid w:val="00E84C6F"/>
    <w:rsid w:val="00E85246"/>
    <w:rsid w:val="00E856CF"/>
    <w:rsid w:val="00E856D0"/>
    <w:rsid w:val="00E86D9A"/>
    <w:rsid w:val="00E8708D"/>
    <w:rsid w:val="00E87174"/>
    <w:rsid w:val="00E87D13"/>
    <w:rsid w:val="00E87DDC"/>
    <w:rsid w:val="00E90125"/>
    <w:rsid w:val="00E90C5D"/>
    <w:rsid w:val="00E90DD2"/>
    <w:rsid w:val="00E91232"/>
    <w:rsid w:val="00E9173A"/>
    <w:rsid w:val="00E919FC"/>
    <w:rsid w:val="00E91A8A"/>
    <w:rsid w:val="00E921EC"/>
    <w:rsid w:val="00E92308"/>
    <w:rsid w:val="00E927C2"/>
    <w:rsid w:val="00E92B93"/>
    <w:rsid w:val="00E9318D"/>
    <w:rsid w:val="00E945D3"/>
    <w:rsid w:val="00E94A15"/>
    <w:rsid w:val="00E94ACB"/>
    <w:rsid w:val="00E94BE6"/>
    <w:rsid w:val="00E94E0B"/>
    <w:rsid w:val="00E95344"/>
    <w:rsid w:val="00E95744"/>
    <w:rsid w:val="00E95D30"/>
    <w:rsid w:val="00E95F18"/>
    <w:rsid w:val="00E95F5B"/>
    <w:rsid w:val="00E96968"/>
    <w:rsid w:val="00E96A4C"/>
    <w:rsid w:val="00E970B3"/>
    <w:rsid w:val="00EA134C"/>
    <w:rsid w:val="00EA192B"/>
    <w:rsid w:val="00EA1D02"/>
    <w:rsid w:val="00EA29B7"/>
    <w:rsid w:val="00EA32AF"/>
    <w:rsid w:val="00EA363B"/>
    <w:rsid w:val="00EA3DCF"/>
    <w:rsid w:val="00EA4749"/>
    <w:rsid w:val="00EA6876"/>
    <w:rsid w:val="00EA6EC3"/>
    <w:rsid w:val="00EA6F6D"/>
    <w:rsid w:val="00EA72E5"/>
    <w:rsid w:val="00EA7663"/>
    <w:rsid w:val="00EA7737"/>
    <w:rsid w:val="00EA7898"/>
    <w:rsid w:val="00EB0C24"/>
    <w:rsid w:val="00EB0C74"/>
    <w:rsid w:val="00EB1C91"/>
    <w:rsid w:val="00EB1CFF"/>
    <w:rsid w:val="00EB1FC6"/>
    <w:rsid w:val="00EB2089"/>
    <w:rsid w:val="00EB211C"/>
    <w:rsid w:val="00EB2126"/>
    <w:rsid w:val="00EB26D3"/>
    <w:rsid w:val="00EB270E"/>
    <w:rsid w:val="00EB2CCB"/>
    <w:rsid w:val="00EB3AC0"/>
    <w:rsid w:val="00EB3B7A"/>
    <w:rsid w:val="00EB4105"/>
    <w:rsid w:val="00EB53D3"/>
    <w:rsid w:val="00EB5AEB"/>
    <w:rsid w:val="00EB5C0B"/>
    <w:rsid w:val="00EB6618"/>
    <w:rsid w:val="00EB74A0"/>
    <w:rsid w:val="00EC0451"/>
    <w:rsid w:val="00EC18DE"/>
    <w:rsid w:val="00EC2101"/>
    <w:rsid w:val="00EC24E9"/>
    <w:rsid w:val="00EC31D8"/>
    <w:rsid w:val="00EC36A7"/>
    <w:rsid w:val="00EC3F23"/>
    <w:rsid w:val="00EC4016"/>
    <w:rsid w:val="00EC4087"/>
    <w:rsid w:val="00EC431B"/>
    <w:rsid w:val="00EC4642"/>
    <w:rsid w:val="00EC4735"/>
    <w:rsid w:val="00EC4830"/>
    <w:rsid w:val="00EC4D79"/>
    <w:rsid w:val="00EC4FB2"/>
    <w:rsid w:val="00EC5FA6"/>
    <w:rsid w:val="00EC6CD6"/>
    <w:rsid w:val="00EC6F30"/>
    <w:rsid w:val="00EC7656"/>
    <w:rsid w:val="00EC7C6D"/>
    <w:rsid w:val="00ED096C"/>
    <w:rsid w:val="00ED0D6D"/>
    <w:rsid w:val="00ED155C"/>
    <w:rsid w:val="00ED16EB"/>
    <w:rsid w:val="00ED1737"/>
    <w:rsid w:val="00ED1762"/>
    <w:rsid w:val="00ED1CBD"/>
    <w:rsid w:val="00ED316E"/>
    <w:rsid w:val="00ED5AEF"/>
    <w:rsid w:val="00ED5BE8"/>
    <w:rsid w:val="00ED5E6C"/>
    <w:rsid w:val="00ED5F13"/>
    <w:rsid w:val="00ED614F"/>
    <w:rsid w:val="00ED634B"/>
    <w:rsid w:val="00ED6A4D"/>
    <w:rsid w:val="00ED6C8F"/>
    <w:rsid w:val="00ED6E15"/>
    <w:rsid w:val="00ED7EC1"/>
    <w:rsid w:val="00EE0095"/>
    <w:rsid w:val="00EE0732"/>
    <w:rsid w:val="00EE0EF3"/>
    <w:rsid w:val="00EE14E4"/>
    <w:rsid w:val="00EE1BCA"/>
    <w:rsid w:val="00EE1C5F"/>
    <w:rsid w:val="00EE20EF"/>
    <w:rsid w:val="00EE251B"/>
    <w:rsid w:val="00EE2C8D"/>
    <w:rsid w:val="00EE3599"/>
    <w:rsid w:val="00EE3CBE"/>
    <w:rsid w:val="00EE441B"/>
    <w:rsid w:val="00EE45D5"/>
    <w:rsid w:val="00EE463A"/>
    <w:rsid w:val="00EE4768"/>
    <w:rsid w:val="00EE513C"/>
    <w:rsid w:val="00EE57DA"/>
    <w:rsid w:val="00EE6055"/>
    <w:rsid w:val="00EE707E"/>
    <w:rsid w:val="00EE70DC"/>
    <w:rsid w:val="00EE7C3A"/>
    <w:rsid w:val="00EE7EC7"/>
    <w:rsid w:val="00EF04C9"/>
    <w:rsid w:val="00EF05A9"/>
    <w:rsid w:val="00EF0619"/>
    <w:rsid w:val="00EF08B5"/>
    <w:rsid w:val="00EF1158"/>
    <w:rsid w:val="00EF139F"/>
    <w:rsid w:val="00EF17A3"/>
    <w:rsid w:val="00EF1FAA"/>
    <w:rsid w:val="00EF2E88"/>
    <w:rsid w:val="00EF334A"/>
    <w:rsid w:val="00EF3601"/>
    <w:rsid w:val="00EF455D"/>
    <w:rsid w:val="00EF45CC"/>
    <w:rsid w:val="00EF4659"/>
    <w:rsid w:val="00EF4F30"/>
    <w:rsid w:val="00EF4FF2"/>
    <w:rsid w:val="00EF520A"/>
    <w:rsid w:val="00EF5E93"/>
    <w:rsid w:val="00EF673A"/>
    <w:rsid w:val="00EF679A"/>
    <w:rsid w:val="00EF6DD9"/>
    <w:rsid w:val="00F01966"/>
    <w:rsid w:val="00F032D0"/>
    <w:rsid w:val="00F0484D"/>
    <w:rsid w:val="00F053E1"/>
    <w:rsid w:val="00F05D59"/>
    <w:rsid w:val="00F06372"/>
    <w:rsid w:val="00F065F2"/>
    <w:rsid w:val="00F06814"/>
    <w:rsid w:val="00F06A2C"/>
    <w:rsid w:val="00F06B85"/>
    <w:rsid w:val="00F07159"/>
    <w:rsid w:val="00F07425"/>
    <w:rsid w:val="00F074B9"/>
    <w:rsid w:val="00F07957"/>
    <w:rsid w:val="00F101C2"/>
    <w:rsid w:val="00F10348"/>
    <w:rsid w:val="00F10620"/>
    <w:rsid w:val="00F11852"/>
    <w:rsid w:val="00F11D99"/>
    <w:rsid w:val="00F127AA"/>
    <w:rsid w:val="00F12C76"/>
    <w:rsid w:val="00F130ED"/>
    <w:rsid w:val="00F13152"/>
    <w:rsid w:val="00F1323D"/>
    <w:rsid w:val="00F1331C"/>
    <w:rsid w:val="00F141EB"/>
    <w:rsid w:val="00F14636"/>
    <w:rsid w:val="00F148AE"/>
    <w:rsid w:val="00F14B73"/>
    <w:rsid w:val="00F16201"/>
    <w:rsid w:val="00F1680D"/>
    <w:rsid w:val="00F17BF3"/>
    <w:rsid w:val="00F17EB8"/>
    <w:rsid w:val="00F20750"/>
    <w:rsid w:val="00F20C7F"/>
    <w:rsid w:val="00F21358"/>
    <w:rsid w:val="00F222C0"/>
    <w:rsid w:val="00F2299F"/>
    <w:rsid w:val="00F23246"/>
    <w:rsid w:val="00F2374E"/>
    <w:rsid w:val="00F2464A"/>
    <w:rsid w:val="00F246B5"/>
    <w:rsid w:val="00F2518D"/>
    <w:rsid w:val="00F253E7"/>
    <w:rsid w:val="00F257E6"/>
    <w:rsid w:val="00F25976"/>
    <w:rsid w:val="00F25FD6"/>
    <w:rsid w:val="00F26218"/>
    <w:rsid w:val="00F262E3"/>
    <w:rsid w:val="00F26C46"/>
    <w:rsid w:val="00F272E6"/>
    <w:rsid w:val="00F27604"/>
    <w:rsid w:val="00F27D2D"/>
    <w:rsid w:val="00F30457"/>
    <w:rsid w:val="00F305FE"/>
    <w:rsid w:val="00F31DAA"/>
    <w:rsid w:val="00F31DC8"/>
    <w:rsid w:val="00F32ED3"/>
    <w:rsid w:val="00F33263"/>
    <w:rsid w:val="00F33AE2"/>
    <w:rsid w:val="00F33CA8"/>
    <w:rsid w:val="00F33E75"/>
    <w:rsid w:val="00F341E5"/>
    <w:rsid w:val="00F343D0"/>
    <w:rsid w:val="00F35056"/>
    <w:rsid w:val="00F3511D"/>
    <w:rsid w:val="00F362D5"/>
    <w:rsid w:val="00F36954"/>
    <w:rsid w:val="00F374D7"/>
    <w:rsid w:val="00F37516"/>
    <w:rsid w:val="00F37519"/>
    <w:rsid w:val="00F37A5C"/>
    <w:rsid w:val="00F41401"/>
    <w:rsid w:val="00F41CDC"/>
    <w:rsid w:val="00F426B1"/>
    <w:rsid w:val="00F431A2"/>
    <w:rsid w:val="00F4428F"/>
    <w:rsid w:val="00F444AB"/>
    <w:rsid w:val="00F4492F"/>
    <w:rsid w:val="00F44D19"/>
    <w:rsid w:val="00F45591"/>
    <w:rsid w:val="00F45942"/>
    <w:rsid w:val="00F45A49"/>
    <w:rsid w:val="00F46156"/>
    <w:rsid w:val="00F46177"/>
    <w:rsid w:val="00F46C40"/>
    <w:rsid w:val="00F46DC2"/>
    <w:rsid w:val="00F4736E"/>
    <w:rsid w:val="00F47B30"/>
    <w:rsid w:val="00F5044E"/>
    <w:rsid w:val="00F51251"/>
    <w:rsid w:val="00F51E9E"/>
    <w:rsid w:val="00F5393E"/>
    <w:rsid w:val="00F54117"/>
    <w:rsid w:val="00F5499A"/>
    <w:rsid w:val="00F54B15"/>
    <w:rsid w:val="00F54C89"/>
    <w:rsid w:val="00F54EBA"/>
    <w:rsid w:val="00F555C8"/>
    <w:rsid w:val="00F55BB2"/>
    <w:rsid w:val="00F56A1A"/>
    <w:rsid w:val="00F56F45"/>
    <w:rsid w:val="00F57072"/>
    <w:rsid w:val="00F57708"/>
    <w:rsid w:val="00F600BC"/>
    <w:rsid w:val="00F60216"/>
    <w:rsid w:val="00F60823"/>
    <w:rsid w:val="00F6228F"/>
    <w:rsid w:val="00F62564"/>
    <w:rsid w:val="00F63910"/>
    <w:rsid w:val="00F63FEE"/>
    <w:rsid w:val="00F64139"/>
    <w:rsid w:val="00F64330"/>
    <w:rsid w:val="00F64D01"/>
    <w:rsid w:val="00F659FE"/>
    <w:rsid w:val="00F65C46"/>
    <w:rsid w:val="00F66F7F"/>
    <w:rsid w:val="00F67294"/>
    <w:rsid w:val="00F675D6"/>
    <w:rsid w:val="00F676FF"/>
    <w:rsid w:val="00F67FD9"/>
    <w:rsid w:val="00F70FB8"/>
    <w:rsid w:val="00F7116B"/>
    <w:rsid w:val="00F718CE"/>
    <w:rsid w:val="00F71A11"/>
    <w:rsid w:val="00F73329"/>
    <w:rsid w:val="00F75A2F"/>
    <w:rsid w:val="00F76064"/>
    <w:rsid w:val="00F76FDD"/>
    <w:rsid w:val="00F770B4"/>
    <w:rsid w:val="00F77226"/>
    <w:rsid w:val="00F7743A"/>
    <w:rsid w:val="00F77DEA"/>
    <w:rsid w:val="00F77E44"/>
    <w:rsid w:val="00F8036E"/>
    <w:rsid w:val="00F81901"/>
    <w:rsid w:val="00F8198F"/>
    <w:rsid w:val="00F823AB"/>
    <w:rsid w:val="00F8289D"/>
    <w:rsid w:val="00F82D8A"/>
    <w:rsid w:val="00F82E51"/>
    <w:rsid w:val="00F82FAB"/>
    <w:rsid w:val="00F83D59"/>
    <w:rsid w:val="00F83DCA"/>
    <w:rsid w:val="00F83DF4"/>
    <w:rsid w:val="00F84B73"/>
    <w:rsid w:val="00F84E39"/>
    <w:rsid w:val="00F85C4E"/>
    <w:rsid w:val="00F863FF"/>
    <w:rsid w:val="00F864C4"/>
    <w:rsid w:val="00F86758"/>
    <w:rsid w:val="00F86FAC"/>
    <w:rsid w:val="00F871E0"/>
    <w:rsid w:val="00F87277"/>
    <w:rsid w:val="00F87A84"/>
    <w:rsid w:val="00F9003C"/>
    <w:rsid w:val="00F91235"/>
    <w:rsid w:val="00F912E7"/>
    <w:rsid w:val="00F91787"/>
    <w:rsid w:val="00F91899"/>
    <w:rsid w:val="00F91CD7"/>
    <w:rsid w:val="00F91D5A"/>
    <w:rsid w:val="00F92263"/>
    <w:rsid w:val="00F9228E"/>
    <w:rsid w:val="00F9233F"/>
    <w:rsid w:val="00F9278B"/>
    <w:rsid w:val="00F928FF"/>
    <w:rsid w:val="00F92BCB"/>
    <w:rsid w:val="00F93340"/>
    <w:rsid w:val="00F9373C"/>
    <w:rsid w:val="00F937D0"/>
    <w:rsid w:val="00F93A7A"/>
    <w:rsid w:val="00F93E4E"/>
    <w:rsid w:val="00F94B72"/>
    <w:rsid w:val="00F95776"/>
    <w:rsid w:val="00F95DF6"/>
    <w:rsid w:val="00F96662"/>
    <w:rsid w:val="00F97AE4"/>
    <w:rsid w:val="00FA0A0D"/>
    <w:rsid w:val="00FA0EFC"/>
    <w:rsid w:val="00FA1079"/>
    <w:rsid w:val="00FA117A"/>
    <w:rsid w:val="00FA16F2"/>
    <w:rsid w:val="00FA242C"/>
    <w:rsid w:val="00FA2C19"/>
    <w:rsid w:val="00FA2C88"/>
    <w:rsid w:val="00FA2D66"/>
    <w:rsid w:val="00FA3805"/>
    <w:rsid w:val="00FA452F"/>
    <w:rsid w:val="00FA4BB8"/>
    <w:rsid w:val="00FA5A72"/>
    <w:rsid w:val="00FA5DE2"/>
    <w:rsid w:val="00FA5F4F"/>
    <w:rsid w:val="00FA6022"/>
    <w:rsid w:val="00FA605F"/>
    <w:rsid w:val="00FA6656"/>
    <w:rsid w:val="00FA6D90"/>
    <w:rsid w:val="00FB0237"/>
    <w:rsid w:val="00FB065B"/>
    <w:rsid w:val="00FB1141"/>
    <w:rsid w:val="00FB125F"/>
    <w:rsid w:val="00FB12E1"/>
    <w:rsid w:val="00FB15DE"/>
    <w:rsid w:val="00FB1A66"/>
    <w:rsid w:val="00FB1D3A"/>
    <w:rsid w:val="00FB22A4"/>
    <w:rsid w:val="00FB32D0"/>
    <w:rsid w:val="00FB3BCA"/>
    <w:rsid w:val="00FB52D9"/>
    <w:rsid w:val="00FB53E0"/>
    <w:rsid w:val="00FB5A94"/>
    <w:rsid w:val="00FB5E8B"/>
    <w:rsid w:val="00FB6516"/>
    <w:rsid w:val="00FB656D"/>
    <w:rsid w:val="00FB67C2"/>
    <w:rsid w:val="00FB7715"/>
    <w:rsid w:val="00FB7EA8"/>
    <w:rsid w:val="00FB7EDD"/>
    <w:rsid w:val="00FB7F7D"/>
    <w:rsid w:val="00FB7FD4"/>
    <w:rsid w:val="00FC01D0"/>
    <w:rsid w:val="00FC0E76"/>
    <w:rsid w:val="00FC0EEC"/>
    <w:rsid w:val="00FC14D1"/>
    <w:rsid w:val="00FC176C"/>
    <w:rsid w:val="00FC1A86"/>
    <w:rsid w:val="00FC2495"/>
    <w:rsid w:val="00FC24F7"/>
    <w:rsid w:val="00FC24F9"/>
    <w:rsid w:val="00FC2946"/>
    <w:rsid w:val="00FC3095"/>
    <w:rsid w:val="00FC33B7"/>
    <w:rsid w:val="00FC33E8"/>
    <w:rsid w:val="00FC3514"/>
    <w:rsid w:val="00FC3D8E"/>
    <w:rsid w:val="00FC40ED"/>
    <w:rsid w:val="00FC44E6"/>
    <w:rsid w:val="00FC45C3"/>
    <w:rsid w:val="00FC4FB8"/>
    <w:rsid w:val="00FC52ED"/>
    <w:rsid w:val="00FC589F"/>
    <w:rsid w:val="00FC5FB0"/>
    <w:rsid w:val="00FC632D"/>
    <w:rsid w:val="00FC6833"/>
    <w:rsid w:val="00FC7420"/>
    <w:rsid w:val="00FC7D85"/>
    <w:rsid w:val="00FD037E"/>
    <w:rsid w:val="00FD0744"/>
    <w:rsid w:val="00FD1CE4"/>
    <w:rsid w:val="00FD309A"/>
    <w:rsid w:val="00FD33BE"/>
    <w:rsid w:val="00FD3575"/>
    <w:rsid w:val="00FD481D"/>
    <w:rsid w:val="00FD4951"/>
    <w:rsid w:val="00FD4B6A"/>
    <w:rsid w:val="00FD4C1A"/>
    <w:rsid w:val="00FD4D40"/>
    <w:rsid w:val="00FD4F83"/>
    <w:rsid w:val="00FD5770"/>
    <w:rsid w:val="00FD628A"/>
    <w:rsid w:val="00FD7146"/>
    <w:rsid w:val="00FD7A75"/>
    <w:rsid w:val="00FD7C5C"/>
    <w:rsid w:val="00FE0BA6"/>
    <w:rsid w:val="00FE136B"/>
    <w:rsid w:val="00FE1D5F"/>
    <w:rsid w:val="00FE207B"/>
    <w:rsid w:val="00FE2DAF"/>
    <w:rsid w:val="00FE361B"/>
    <w:rsid w:val="00FE378F"/>
    <w:rsid w:val="00FE3BCC"/>
    <w:rsid w:val="00FE43FD"/>
    <w:rsid w:val="00FE48F2"/>
    <w:rsid w:val="00FE501B"/>
    <w:rsid w:val="00FE584A"/>
    <w:rsid w:val="00FE5A6C"/>
    <w:rsid w:val="00FE6FE0"/>
    <w:rsid w:val="00FE7E5C"/>
    <w:rsid w:val="00FE7F98"/>
    <w:rsid w:val="00FF0741"/>
    <w:rsid w:val="00FF097C"/>
    <w:rsid w:val="00FF0DDA"/>
    <w:rsid w:val="00FF0E17"/>
    <w:rsid w:val="00FF1094"/>
    <w:rsid w:val="00FF11E1"/>
    <w:rsid w:val="00FF1FA9"/>
    <w:rsid w:val="00FF2106"/>
    <w:rsid w:val="00FF2A64"/>
    <w:rsid w:val="00FF3072"/>
    <w:rsid w:val="00FF42C9"/>
    <w:rsid w:val="00FF547B"/>
    <w:rsid w:val="00FF705A"/>
    <w:rsid w:val="00FF7500"/>
    <w:rsid w:val="014A3C2D"/>
    <w:rsid w:val="02092D05"/>
    <w:rsid w:val="075BC8D8"/>
    <w:rsid w:val="07ED2710"/>
    <w:rsid w:val="09AA053E"/>
    <w:rsid w:val="0AF90F50"/>
    <w:rsid w:val="0B8DEE5F"/>
    <w:rsid w:val="0D3FFB65"/>
    <w:rsid w:val="0DFB68CD"/>
    <w:rsid w:val="0F7F006C"/>
    <w:rsid w:val="0FEF7D41"/>
    <w:rsid w:val="116B5E0B"/>
    <w:rsid w:val="11E84674"/>
    <w:rsid w:val="12415B32"/>
    <w:rsid w:val="13FA68E0"/>
    <w:rsid w:val="14C729B5"/>
    <w:rsid w:val="164006D9"/>
    <w:rsid w:val="17E51656"/>
    <w:rsid w:val="17F7355F"/>
    <w:rsid w:val="17FBBF0F"/>
    <w:rsid w:val="196245DA"/>
    <w:rsid w:val="19D74418"/>
    <w:rsid w:val="1A1A1EEB"/>
    <w:rsid w:val="1A671134"/>
    <w:rsid w:val="1AF39F7D"/>
    <w:rsid w:val="1B557C26"/>
    <w:rsid w:val="1DFDB8A6"/>
    <w:rsid w:val="1EDB03FD"/>
    <w:rsid w:val="1EFEE86F"/>
    <w:rsid w:val="1F9F76FF"/>
    <w:rsid w:val="1FBF5DBA"/>
    <w:rsid w:val="1FDD7A55"/>
    <w:rsid w:val="1FDFC448"/>
    <w:rsid w:val="1FF7F709"/>
    <w:rsid w:val="1FFF7197"/>
    <w:rsid w:val="1FFFD859"/>
    <w:rsid w:val="20A0436C"/>
    <w:rsid w:val="21FD39D1"/>
    <w:rsid w:val="231177A3"/>
    <w:rsid w:val="256F14F6"/>
    <w:rsid w:val="260C13DF"/>
    <w:rsid w:val="267E9C55"/>
    <w:rsid w:val="27FF04E3"/>
    <w:rsid w:val="297FCC3F"/>
    <w:rsid w:val="2AB436D9"/>
    <w:rsid w:val="2ACFC1B3"/>
    <w:rsid w:val="2B55C560"/>
    <w:rsid w:val="2BBDC2BD"/>
    <w:rsid w:val="2BCF1835"/>
    <w:rsid w:val="2BE7B1F7"/>
    <w:rsid w:val="2DC713F5"/>
    <w:rsid w:val="2DD69E70"/>
    <w:rsid w:val="2DFDCEA3"/>
    <w:rsid w:val="2E00503D"/>
    <w:rsid w:val="2F951380"/>
    <w:rsid w:val="2FB7903E"/>
    <w:rsid w:val="2FDF34F0"/>
    <w:rsid w:val="2FF3284B"/>
    <w:rsid w:val="2FF43D8C"/>
    <w:rsid w:val="2FFF36B0"/>
    <w:rsid w:val="304D8CC5"/>
    <w:rsid w:val="30AE03DF"/>
    <w:rsid w:val="30EF832B"/>
    <w:rsid w:val="32EFD036"/>
    <w:rsid w:val="343A4F90"/>
    <w:rsid w:val="347F8A35"/>
    <w:rsid w:val="34A92650"/>
    <w:rsid w:val="34DFD1D6"/>
    <w:rsid w:val="35305866"/>
    <w:rsid w:val="35DB7C86"/>
    <w:rsid w:val="360F1920"/>
    <w:rsid w:val="363FDFAE"/>
    <w:rsid w:val="36FBD014"/>
    <w:rsid w:val="373FA63D"/>
    <w:rsid w:val="37531CE0"/>
    <w:rsid w:val="379F1FC2"/>
    <w:rsid w:val="37BFF5E4"/>
    <w:rsid w:val="37DDCCED"/>
    <w:rsid w:val="37E51B3A"/>
    <w:rsid w:val="37F7F5A9"/>
    <w:rsid w:val="37FB8694"/>
    <w:rsid w:val="37FCBB43"/>
    <w:rsid w:val="37FEEE53"/>
    <w:rsid w:val="37FF14F0"/>
    <w:rsid w:val="38170C57"/>
    <w:rsid w:val="38E653C4"/>
    <w:rsid w:val="392770B5"/>
    <w:rsid w:val="3A6FBA1A"/>
    <w:rsid w:val="3AF91753"/>
    <w:rsid w:val="3AFEC7C5"/>
    <w:rsid w:val="3B31309F"/>
    <w:rsid w:val="3B775A99"/>
    <w:rsid w:val="3BB724FB"/>
    <w:rsid w:val="3BB9657A"/>
    <w:rsid w:val="3BBC00D8"/>
    <w:rsid w:val="3BDC9BC8"/>
    <w:rsid w:val="3BF937F0"/>
    <w:rsid w:val="3BFDA554"/>
    <w:rsid w:val="3C6B04E1"/>
    <w:rsid w:val="3CB5B98D"/>
    <w:rsid w:val="3CF794E6"/>
    <w:rsid w:val="3D4F4CF8"/>
    <w:rsid w:val="3D57CC94"/>
    <w:rsid w:val="3D87287F"/>
    <w:rsid w:val="3DDE321D"/>
    <w:rsid w:val="3DF78CBB"/>
    <w:rsid w:val="3DFC4D90"/>
    <w:rsid w:val="3DFD716F"/>
    <w:rsid w:val="3DFFE4E4"/>
    <w:rsid w:val="3E6F06C7"/>
    <w:rsid w:val="3EA70DB4"/>
    <w:rsid w:val="3EAF9FEF"/>
    <w:rsid w:val="3EFE5490"/>
    <w:rsid w:val="3F3FB797"/>
    <w:rsid w:val="3F5D55CE"/>
    <w:rsid w:val="3F5E5568"/>
    <w:rsid w:val="3F5F8934"/>
    <w:rsid w:val="3F6DCA55"/>
    <w:rsid w:val="3F71AE40"/>
    <w:rsid w:val="3F7926AD"/>
    <w:rsid w:val="3F7E3690"/>
    <w:rsid w:val="3FAF50AD"/>
    <w:rsid w:val="3FB0C969"/>
    <w:rsid w:val="3FCE6E09"/>
    <w:rsid w:val="3FDC2923"/>
    <w:rsid w:val="3FDE59D3"/>
    <w:rsid w:val="3FF7C77B"/>
    <w:rsid w:val="3FFD6B4D"/>
    <w:rsid w:val="3FFF3006"/>
    <w:rsid w:val="3FFFE479"/>
    <w:rsid w:val="41270465"/>
    <w:rsid w:val="424741EF"/>
    <w:rsid w:val="43770B04"/>
    <w:rsid w:val="456CE305"/>
    <w:rsid w:val="45FF419C"/>
    <w:rsid w:val="47B9EF43"/>
    <w:rsid w:val="47FE60A5"/>
    <w:rsid w:val="49E07E5A"/>
    <w:rsid w:val="4A3FA0C5"/>
    <w:rsid w:val="4BBAB163"/>
    <w:rsid w:val="4BE12428"/>
    <w:rsid w:val="4C355F3E"/>
    <w:rsid w:val="4CFFBC72"/>
    <w:rsid w:val="4D1FA09D"/>
    <w:rsid w:val="4D3B6357"/>
    <w:rsid w:val="4D422183"/>
    <w:rsid w:val="4DCC58D9"/>
    <w:rsid w:val="4DDD61AA"/>
    <w:rsid w:val="4DF534EE"/>
    <w:rsid w:val="4E77D21C"/>
    <w:rsid w:val="4E9F565F"/>
    <w:rsid w:val="4F1E7B2E"/>
    <w:rsid w:val="4FD76D97"/>
    <w:rsid w:val="4FDF85B3"/>
    <w:rsid w:val="4FF5AE3C"/>
    <w:rsid w:val="4FFDD265"/>
    <w:rsid w:val="4FFF800F"/>
    <w:rsid w:val="4FFF99CC"/>
    <w:rsid w:val="51A562EB"/>
    <w:rsid w:val="52E7485E"/>
    <w:rsid w:val="53775A3C"/>
    <w:rsid w:val="53FE8754"/>
    <w:rsid w:val="546F7553"/>
    <w:rsid w:val="559BAA45"/>
    <w:rsid w:val="56E4368F"/>
    <w:rsid w:val="576FDBF6"/>
    <w:rsid w:val="5779729A"/>
    <w:rsid w:val="57DF6A22"/>
    <w:rsid w:val="57FB49D5"/>
    <w:rsid w:val="57FBEDE6"/>
    <w:rsid w:val="57FE8959"/>
    <w:rsid w:val="57FF269F"/>
    <w:rsid w:val="589C6BEB"/>
    <w:rsid w:val="58B7F1C5"/>
    <w:rsid w:val="58F9524E"/>
    <w:rsid w:val="58FF494F"/>
    <w:rsid w:val="59373121"/>
    <w:rsid w:val="597E84FE"/>
    <w:rsid w:val="59B50531"/>
    <w:rsid w:val="5AFF34BB"/>
    <w:rsid w:val="5B5D09D7"/>
    <w:rsid w:val="5B6CE9FC"/>
    <w:rsid w:val="5B9F92F4"/>
    <w:rsid w:val="5BDF574A"/>
    <w:rsid w:val="5BFF65F4"/>
    <w:rsid w:val="5CBA3AE4"/>
    <w:rsid w:val="5CFF6D1F"/>
    <w:rsid w:val="5D5A2380"/>
    <w:rsid w:val="5DDDB6D1"/>
    <w:rsid w:val="5DE556A3"/>
    <w:rsid w:val="5DF99DEF"/>
    <w:rsid w:val="5DFF877C"/>
    <w:rsid w:val="5E3B646D"/>
    <w:rsid w:val="5E744166"/>
    <w:rsid w:val="5EB7D78F"/>
    <w:rsid w:val="5EDF50D8"/>
    <w:rsid w:val="5EFAC486"/>
    <w:rsid w:val="5EFB438D"/>
    <w:rsid w:val="5EFE06D1"/>
    <w:rsid w:val="5F1D1CA3"/>
    <w:rsid w:val="5F3F036A"/>
    <w:rsid w:val="5F561416"/>
    <w:rsid w:val="5F681F1D"/>
    <w:rsid w:val="5F777ED2"/>
    <w:rsid w:val="5F7AA3A0"/>
    <w:rsid w:val="5F7F370C"/>
    <w:rsid w:val="5F7F58FF"/>
    <w:rsid w:val="5F9689C7"/>
    <w:rsid w:val="5F9F6BC7"/>
    <w:rsid w:val="5FBF8A77"/>
    <w:rsid w:val="5FD5D164"/>
    <w:rsid w:val="5FD9330D"/>
    <w:rsid w:val="5FDF7B6D"/>
    <w:rsid w:val="5FFA1BA6"/>
    <w:rsid w:val="5FFBCF0A"/>
    <w:rsid w:val="5FFD05AD"/>
    <w:rsid w:val="5FFD5DFB"/>
    <w:rsid w:val="5FFF17A1"/>
    <w:rsid w:val="5FFFF363"/>
    <w:rsid w:val="60DF0E9D"/>
    <w:rsid w:val="62AF63FE"/>
    <w:rsid w:val="62BB02AB"/>
    <w:rsid w:val="64BF60D2"/>
    <w:rsid w:val="65DECB36"/>
    <w:rsid w:val="66553ED3"/>
    <w:rsid w:val="66554E3F"/>
    <w:rsid w:val="66F1E722"/>
    <w:rsid w:val="67956BBD"/>
    <w:rsid w:val="67B079B8"/>
    <w:rsid w:val="67BFE1B2"/>
    <w:rsid w:val="67C61F1E"/>
    <w:rsid w:val="67DE7357"/>
    <w:rsid w:val="67FCC09C"/>
    <w:rsid w:val="695F650A"/>
    <w:rsid w:val="69F7920D"/>
    <w:rsid w:val="6AD61D20"/>
    <w:rsid w:val="6B79C096"/>
    <w:rsid w:val="6BE9CA7C"/>
    <w:rsid w:val="6BF3C8E4"/>
    <w:rsid w:val="6BF8340E"/>
    <w:rsid w:val="6BFBC461"/>
    <w:rsid w:val="6C3E2441"/>
    <w:rsid w:val="6CBD6C68"/>
    <w:rsid w:val="6CC7E9FF"/>
    <w:rsid w:val="6D3D05C4"/>
    <w:rsid w:val="6DDBD728"/>
    <w:rsid w:val="6E6C59D8"/>
    <w:rsid w:val="6EED6BBC"/>
    <w:rsid w:val="6EF049D9"/>
    <w:rsid w:val="6EFE3D04"/>
    <w:rsid w:val="6EFF8300"/>
    <w:rsid w:val="6EFF9687"/>
    <w:rsid w:val="6EFFCD91"/>
    <w:rsid w:val="6EFFD945"/>
    <w:rsid w:val="6F3E8592"/>
    <w:rsid w:val="6F57CDEF"/>
    <w:rsid w:val="6F774DAA"/>
    <w:rsid w:val="6F78EF51"/>
    <w:rsid w:val="6F7B1673"/>
    <w:rsid w:val="6F7E1438"/>
    <w:rsid w:val="6F8B5A2A"/>
    <w:rsid w:val="6F9F9428"/>
    <w:rsid w:val="6FB22021"/>
    <w:rsid w:val="6FBDBBA2"/>
    <w:rsid w:val="6FD44FF7"/>
    <w:rsid w:val="6FD67274"/>
    <w:rsid w:val="6FF63F4D"/>
    <w:rsid w:val="6FF7765B"/>
    <w:rsid w:val="6FF7AA15"/>
    <w:rsid w:val="6FFBECD3"/>
    <w:rsid w:val="6FFDA8D2"/>
    <w:rsid w:val="6FFDF07A"/>
    <w:rsid w:val="6FFE8B23"/>
    <w:rsid w:val="6FFF0CA7"/>
    <w:rsid w:val="6FFFB47D"/>
    <w:rsid w:val="6FFFD536"/>
    <w:rsid w:val="71857445"/>
    <w:rsid w:val="71BD4EDB"/>
    <w:rsid w:val="72A050D2"/>
    <w:rsid w:val="72BC26E0"/>
    <w:rsid w:val="72BF964E"/>
    <w:rsid w:val="72F9EF4E"/>
    <w:rsid w:val="731F8D94"/>
    <w:rsid w:val="733412B9"/>
    <w:rsid w:val="734FA543"/>
    <w:rsid w:val="73A36527"/>
    <w:rsid w:val="73D7B5A4"/>
    <w:rsid w:val="73DA4E7C"/>
    <w:rsid w:val="73DD0C4B"/>
    <w:rsid w:val="73FD3C52"/>
    <w:rsid w:val="73FF48A7"/>
    <w:rsid w:val="73FF7DBF"/>
    <w:rsid w:val="74CF1B7F"/>
    <w:rsid w:val="74E1AD8D"/>
    <w:rsid w:val="74EF82EE"/>
    <w:rsid w:val="74F1FF63"/>
    <w:rsid w:val="756AC3C1"/>
    <w:rsid w:val="75771DAB"/>
    <w:rsid w:val="75BE6256"/>
    <w:rsid w:val="75FBA1DC"/>
    <w:rsid w:val="763D28C6"/>
    <w:rsid w:val="7647A9FE"/>
    <w:rsid w:val="765AB9DC"/>
    <w:rsid w:val="76BC8A20"/>
    <w:rsid w:val="76CD93C8"/>
    <w:rsid w:val="76DF09C1"/>
    <w:rsid w:val="76FBB90B"/>
    <w:rsid w:val="76FEE481"/>
    <w:rsid w:val="76FF0077"/>
    <w:rsid w:val="7737A1B5"/>
    <w:rsid w:val="773B1B7E"/>
    <w:rsid w:val="774D31EC"/>
    <w:rsid w:val="77599789"/>
    <w:rsid w:val="77632092"/>
    <w:rsid w:val="777BEB52"/>
    <w:rsid w:val="777F73C9"/>
    <w:rsid w:val="77BA29D8"/>
    <w:rsid w:val="77BF29F2"/>
    <w:rsid w:val="77CE0128"/>
    <w:rsid w:val="77CF47F4"/>
    <w:rsid w:val="77DB7F45"/>
    <w:rsid w:val="77DE7F3E"/>
    <w:rsid w:val="77DE8890"/>
    <w:rsid w:val="77F92AE9"/>
    <w:rsid w:val="77FD75D7"/>
    <w:rsid w:val="77FE2880"/>
    <w:rsid w:val="77FF721E"/>
    <w:rsid w:val="77FF8056"/>
    <w:rsid w:val="787BBFC6"/>
    <w:rsid w:val="79E104AA"/>
    <w:rsid w:val="79F55158"/>
    <w:rsid w:val="79FBD5DF"/>
    <w:rsid w:val="7AAEC202"/>
    <w:rsid w:val="7ABBB987"/>
    <w:rsid w:val="7AF1B950"/>
    <w:rsid w:val="7AF70868"/>
    <w:rsid w:val="7B3B35BF"/>
    <w:rsid w:val="7B3F1EA4"/>
    <w:rsid w:val="7B6F7C10"/>
    <w:rsid w:val="7B7FB030"/>
    <w:rsid w:val="7B8F46B3"/>
    <w:rsid w:val="7B9F6A71"/>
    <w:rsid w:val="7BABA62C"/>
    <w:rsid w:val="7BAF9271"/>
    <w:rsid w:val="7BAF9BD0"/>
    <w:rsid w:val="7BB72FBA"/>
    <w:rsid w:val="7BCB05F0"/>
    <w:rsid w:val="7BDF8F0B"/>
    <w:rsid w:val="7BDFB86B"/>
    <w:rsid w:val="7BDFC98D"/>
    <w:rsid w:val="7BEF5C1B"/>
    <w:rsid w:val="7BEF6EBA"/>
    <w:rsid w:val="7BEF8115"/>
    <w:rsid w:val="7BF1384C"/>
    <w:rsid w:val="7BF6E845"/>
    <w:rsid w:val="7BFA4858"/>
    <w:rsid w:val="7BFB8564"/>
    <w:rsid w:val="7BFE1471"/>
    <w:rsid w:val="7BFFCD34"/>
    <w:rsid w:val="7C4C6E0D"/>
    <w:rsid w:val="7CDD20CC"/>
    <w:rsid w:val="7CEF95DE"/>
    <w:rsid w:val="7CFE67E6"/>
    <w:rsid w:val="7CFED96C"/>
    <w:rsid w:val="7CFF67BB"/>
    <w:rsid w:val="7D37F6DD"/>
    <w:rsid w:val="7D456FA2"/>
    <w:rsid w:val="7D767AC8"/>
    <w:rsid w:val="7D7C26C2"/>
    <w:rsid w:val="7D7FA861"/>
    <w:rsid w:val="7DB8E788"/>
    <w:rsid w:val="7DBFDCC4"/>
    <w:rsid w:val="7DC2202A"/>
    <w:rsid w:val="7DCF1B11"/>
    <w:rsid w:val="7DD7C568"/>
    <w:rsid w:val="7DED9C6D"/>
    <w:rsid w:val="7DFE70F7"/>
    <w:rsid w:val="7DFF8737"/>
    <w:rsid w:val="7DFFA4DD"/>
    <w:rsid w:val="7E1C5F55"/>
    <w:rsid w:val="7E3B47BE"/>
    <w:rsid w:val="7E7A1E62"/>
    <w:rsid w:val="7E7D4AEC"/>
    <w:rsid w:val="7E9F8C12"/>
    <w:rsid w:val="7EA3C45F"/>
    <w:rsid w:val="7EADEB4E"/>
    <w:rsid w:val="7EBD7B83"/>
    <w:rsid w:val="7EBF41D0"/>
    <w:rsid w:val="7EBF5973"/>
    <w:rsid w:val="7EDFE428"/>
    <w:rsid w:val="7EFAEEBD"/>
    <w:rsid w:val="7EFDE10E"/>
    <w:rsid w:val="7EFE047D"/>
    <w:rsid w:val="7EFF685C"/>
    <w:rsid w:val="7F1E5052"/>
    <w:rsid w:val="7F1FA0BC"/>
    <w:rsid w:val="7F2BC482"/>
    <w:rsid w:val="7F2E0B89"/>
    <w:rsid w:val="7F67B415"/>
    <w:rsid w:val="7F6A1279"/>
    <w:rsid w:val="7F6BA967"/>
    <w:rsid w:val="7F6EAE3D"/>
    <w:rsid w:val="7F7E20D3"/>
    <w:rsid w:val="7F7E9170"/>
    <w:rsid w:val="7F7F36C9"/>
    <w:rsid w:val="7F7FFF20"/>
    <w:rsid w:val="7F9B7F17"/>
    <w:rsid w:val="7FB9197B"/>
    <w:rsid w:val="7FBB285B"/>
    <w:rsid w:val="7FBB68B3"/>
    <w:rsid w:val="7FBC5826"/>
    <w:rsid w:val="7FD73780"/>
    <w:rsid w:val="7FDB5A67"/>
    <w:rsid w:val="7FE7284A"/>
    <w:rsid w:val="7FE92E09"/>
    <w:rsid w:val="7FEDC560"/>
    <w:rsid w:val="7FEEED7F"/>
    <w:rsid w:val="7FEEEDDC"/>
    <w:rsid w:val="7FEFA0A0"/>
    <w:rsid w:val="7FF55F35"/>
    <w:rsid w:val="7FF750E8"/>
    <w:rsid w:val="7FF7A527"/>
    <w:rsid w:val="7FFB6E3B"/>
    <w:rsid w:val="7FFBCEB6"/>
    <w:rsid w:val="7FFD1844"/>
    <w:rsid w:val="7FFD6979"/>
    <w:rsid w:val="7FFD6FEE"/>
    <w:rsid w:val="7FFDEC9B"/>
    <w:rsid w:val="7FFDFB94"/>
    <w:rsid w:val="7FFE0EB5"/>
    <w:rsid w:val="7FFE2146"/>
    <w:rsid w:val="7FFE23D1"/>
    <w:rsid w:val="7FFED456"/>
    <w:rsid w:val="7FFF4018"/>
    <w:rsid w:val="7FFF4696"/>
    <w:rsid w:val="7FFF9EA0"/>
    <w:rsid w:val="7FFFB17E"/>
    <w:rsid w:val="8FCF9325"/>
    <w:rsid w:val="93DB10BD"/>
    <w:rsid w:val="951F36CD"/>
    <w:rsid w:val="95FF1B1F"/>
    <w:rsid w:val="96F7C33B"/>
    <w:rsid w:val="98D56C1C"/>
    <w:rsid w:val="99AE8606"/>
    <w:rsid w:val="99F3578D"/>
    <w:rsid w:val="9A77E41D"/>
    <w:rsid w:val="9AD757BA"/>
    <w:rsid w:val="9B4FCF99"/>
    <w:rsid w:val="9BFB1DB4"/>
    <w:rsid w:val="9CCF976C"/>
    <w:rsid w:val="9E7F005B"/>
    <w:rsid w:val="9EF87B9B"/>
    <w:rsid w:val="9F7F2F61"/>
    <w:rsid w:val="9FAC5387"/>
    <w:rsid w:val="9FFE7E8B"/>
    <w:rsid w:val="9FFEEE01"/>
    <w:rsid w:val="9FFF8C0B"/>
    <w:rsid w:val="A3FFB27C"/>
    <w:rsid w:val="A4BFC841"/>
    <w:rsid w:val="A55F51DA"/>
    <w:rsid w:val="A606EBF6"/>
    <w:rsid w:val="A77D7287"/>
    <w:rsid w:val="A7FC5D14"/>
    <w:rsid w:val="A956D779"/>
    <w:rsid w:val="A9A77F41"/>
    <w:rsid w:val="A9EF6A2C"/>
    <w:rsid w:val="AAFF920B"/>
    <w:rsid w:val="AB793974"/>
    <w:rsid w:val="AB9E7051"/>
    <w:rsid w:val="AC6F6E81"/>
    <w:rsid w:val="ACE75103"/>
    <w:rsid w:val="AD3E111C"/>
    <w:rsid w:val="ADFEFAE8"/>
    <w:rsid w:val="ADFF951F"/>
    <w:rsid w:val="AEBE9A7E"/>
    <w:rsid w:val="AEE95E75"/>
    <w:rsid w:val="AEFA8790"/>
    <w:rsid w:val="AEFF721B"/>
    <w:rsid w:val="AF7D4AA5"/>
    <w:rsid w:val="AFB72F88"/>
    <w:rsid w:val="AFBF9B3D"/>
    <w:rsid w:val="AFBFE823"/>
    <w:rsid w:val="AFCF9E88"/>
    <w:rsid w:val="AFF42B84"/>
    <w:rsid w:val="B5BFC442"/>
    <w:rsid w:val="B767DF0B"/>
    <w:rsid w:val="B76BA085"/>
    <w:rsid w:val="B7BF3BA5"/>
    <w:rsid w:val="B7FB1696"/>
    <w:rsid w:val="B9F71392"/>
    <w:rsid w:val="BA5EF861"/>
    <w:rsid w:val="BA7CF224"/>
    <w:rsid w:val="BAA75F38"/>
    <w:rsid w:val="BABF2F89"/>
    <w:rsid w:val="BB7FB14A"/>
    <w:rsid w:val="BB9F8160"/>
    <w:rsid w:val="BBADDB21"/>
    <w:rsid w:val="BBE50131"/>
    <w:rsid w:val="BBF73C35"/>
    <w:rsid w:val="BBF96E5E"/>
    <w:rsid w:val="BBFFA1B3"/>
    <w:rsid w:val="BBFFC388"/>
    <w:rsid w:val="BC3934D3"/>
    <w:rsid w:val="BCF79D72"/>
    <w:rsid w:val="BCFB1B19"/>
    <w:rsid w:val="BCFF0BA0"/>
    <w:rsid w:val="BD3F2E77"/>
    <w:rsid w:val="BD6F0300"/>
    <w:rsid w:val="BD72DC74"/>
    <w:rsid w:val="BD7B9457"/>
    <w:rsid w:val="BDBF729D"/>
    <w:rsid w:val="BDBF8CE2"/>
    <w:rsid w:val="BDD7C686"/>
    <w:rsid w:val="BDE737A9"/>
    <w:rsid w:val="BDEE0748"/>
    <w:rsid w:val="BDEF10DE"/>
    <w:rsid w:val="BDFF0C1F"/>
    <w:rsid w:val="BDFF35DD"/>
    <w:rsid w:val="BE775167"/>
    <w:rsid w:val="BEFF3E49"/>
    <w:rsid w:val="BF176B77"/>
    <w:rsid w:val="BF3BBEBB"/>
    <w:rsid w:val="BF5E367A"/>
    <w:rsid w:val="BF7EB1EF"/>
    <w:rsid w:val="BF7F830D"/>
    <w:rsid w:val="BF7FC2F0"/>
    <w:rsid w:val="BF7FC36A"/>
    <w:rsid w:val="BFB5635C"/>
    <w:rsid w:val="BFBFF50C"/>
    <w:rsid w:val="BFDDAB03"/>
    <w:rsid w:val="BFDF4F4C"/>
    <w:rsid w:val="BFEF4C23"/>
    <w:rsid w:val="BFEF7494"/>
    <w:rsid w:val="BFFB0070"/>
    <w:rsid w:val="BFFB6391"/>
    <w:rsid w:val="BFFC3F7C"/>
    <w:rsid w:val="BFFDB544"/>
    <w:rsid w:val="BFFFA159"/>
    <w:rsid w:val="BFFFAA6F"/>
    <w:rsid w:val="BFFFF1B0"/>
    <w:rsid w:val="C235BB37"/>
    <w:rsid w:val="C7F72151"/>
    <w:rsid w:val="C7FE5275"/>
    <w:rsid w:val="CB787C44"/>
    <w:rsid w:val="CDBE3221"/>
    <w:rsid w:val="CFABC2F2"/>
    <w:rsid w:val="CFD6E4AB"/>
    <w:rsid w:val="CFDD3537"/>
    <w:rsid w:val="CFFBC681"/>
    <w:rsid w:val="D3BC0458"/>
    <w:rsid w:val="D3D9A9C8"/>
    <w:rsid w:val="D3FD25CA"/>
    <w:rsid w:val="D3FF3861"/>
    <w:rsid w:val="D4FE22AB"/>
    <w:rsid w:val="D5FF06AB"/>
    <w:rsid w:val="D64EC670"/>
    <w:rsid w:val="D7ABB6F6"/>
    <w:rsid w:val="D7B7E011"/>
    <w:rsid w:val="D7BFA01C"/>
    <w:rsid w:val="D7E87934"/>
    <w:rsid w:val="D7F3810F"/>
    <w:rsid w:val="D7F77AE2"/>
    <w:rsid w:val="D7FD1837"/>
    <w:rsid w:val="D7FD66CA"/>
    <w:rsid w:val="D9F7B23E"/>
    <w:rsid w:val="DA2E72AB"/>
    <w:rsid w:val="DAF7C332"/>
    <w:rsid w:val="DAFF5E52"/>
    <w:rsid w:val="DBABF11E"/>
    <w:rsid w:val="DBCBF7B5"/>
    <w:rsid w:val="DBD6028E"/>
    <w:rsid w:val="DBDF37D2"/>
    <w:rsid w:val="DBF4A819"/>
    <w:rsid w:val="DBFAE79D"/>
    <w:rsid w:val="DBFE9A1F"/>
    <w:rsid w:val="DBFF14F1"/>
    <w:rsid w:val="DCF791EE"/>
    <w:rsid w:val="DD57AF95"/>
    <w:rsid w:val="DD5E0ACB"/>
    <w:rsid w:val="DD7F81F2"/>
    <w:rsid w:val="DDDC9D10"/>
    <w:rsid w:val="DDDF9B36"/>
    <w:rsid w:val="DDEBB7AB"/>
    <w:rsid w:val="DDEFA1D1"/>
    <w:rsid w:val="DDFC7130"/>
    <w:rsid w:val="DDFC81B8"/>
    <w:rsid w:val="DE77799E"/>
    <w:rsid w:val="DE97B741"/>
    <w:rsid w:val="DEED54E9"/>
    <w:rsid w:val="DEFE3556"/>
    <w:rsid w:val="DF4A0B1A"/>
    <w:rsid w:val="DF4F5952"/>
    <w:rsid w:val="DF7F7B71"/>
    <w:rsid w:val="DF939733"/>
    <w:rsid w:val="DFBF0138"/>
    <w:rsid w:val="DFD83319"/>
    <w:rsid w:val="DFE56DBC"/>
    <w:rsid w:val="DFEE8481"/>
    <w:rsid w:val="DFFA2DB8"/>
    <w:rsid w:val="DFFB00B0"/>
    <w:rsid w:val="DFFB4B22"/>
    <w:rsid w:val="DFFD0CEB"/>
    <w:rsid w:val="DFFD31AE"/>
    <w:rsid w:val="DFFE7A2B"/>
    <w:rsid w:val="E15BE65E"/>
    <w:rsid w:val="E27F7228"/>
    <w:rsid w:val="E3FC2701"/>
    <w:rsid w:val="E4390F65"/>
    <w:rsid w:val="E55FF42F"/>
    <w:rsid w:val="E5FDE754"/>
    <w:rsid w:val="E66C9DFC"/>
    <w:rsid w:val="E6AEB977"/>
    <w:rsid w:val="E7220643"/>
    <w:rsid w:val="E753D2D9"/>
    <w:rsid w:val="E78AFA75"/>
    <w:rsid w:val="E7BF2AB5"/>
    <w:rsid w:val="E7DF9227"/>
    <w:rsid w:val="E7FA51C4"/>
    <w:rsid w:val="E9CF7A40"/>
    <w:rsid w:val="EAE30B3C"/>
    <w:rsid w:val="EAF67938"/>
    <w:rsid w:val="EB65E4A8"/>
    <w:rsid w:val="EBBF4FC5"/>
    <w:rsid w:val="EBEB5C09"/>
    <w:rsid w:val="EBFA665A"/>
    <w:rsid w:val="EBFF62FA"/>
    <w:rsid w:val="ED578182"/>
    <w:rsid w:val="ED7EDA56"/>
    <w:rsid w:val="EDCF93F5"/>
    <w:rsid w:val="EDDF2D12"/>
    <w:rsid w:val="EDE14F71"/>
    <w:rsid w:val="EDE72EC9"/>
    <w:rsid w:val="EDF729D5"/>
    <w:rsid w:val="EDFB6C23"/>
    <w:rsid w:val="EDFD6740"/>
    <w:rsid w:val="EDFFA660"/>
    <w:rsid w:val="EDFFEED5"/>
    <w:rsid w:val="EEEF6D6C"/>
    <w:rsid w:val="EF3A8274"/>
    <w:rsid w:val="EF5D2233"/>
    <w:rsid w:val="EF5F996D"/>
    <w:rsid w:val="EF610B50"/>
    <w:rsid w:val="EF6607F3"/>
    <w:rsid w:val="EF67257E"/>
    <w:rsid w:val="EF7D94AD"/>
    <w:rsid w:val="EF8F396F"/>
    <w:rsid w:val="EFDE9771"/>
    <w:rsid w:val="EFDF24F0"/>
    <w:rsid w:val="EFE732FF"/>
    <w:rsid w:val="EFE94749"/>
    <w:rsid w:val="EFEB600A"/>
    <w:rsid w:val="EFEBAD7F"/>
    <w:rsid w:val="EFF5F79D"/>
    <w:rsid w:val="EFFB944E"/>
    <w:rsid w:val="F1AD5C4B"/>
    <w:rsid w:val="F31DBBCA"/>
    <w:rsid w:val="F37BB3EC"/>
    <w:rsid w:val="F3DF6846"/>
    <w:rsid w:val="F3EFF058"/>
    <w:rsid w:val="F3F5EFEB"/>
    <w:rsid w:val="F3F7BA67"/>
    <w:rsid w:val="F3FEE22A"/>
    <w:rsid w:val="F3FF0400"/>
    <w:rsid w:val="F3FF256F"/>
    <w:rsid w:val="F4B7D139"/>
    <w:rsid w:val="F52D8C05"/>
    <w:rsid w:val="F53B76D2"/>
    <w:rsid w:val="F53F1BFD"/>
    <w:rsid w:val="F576178C"/>
    <w:rsid w:val="F59FDFF4"/>
    <w:rsid w:val="F5CF9647"/>
    <w:rsid w:val="F5DF86E1"/>
    <w:rsid w:val="F5ED3438"/>
    <w:rsid w:val="F63CE6A3"/>
    <w:rsid w:val="F67DA098"/>
    <w:rsid w:val="F68F3ADA"/>
    <w:rsid w:val="F69B516C"/>
    <w:rsid w:val="F6B7089C"/>
    <w:rsid w:val="F6FEFF47"/>
    <w:rsid w:val="F757FCE2"/>
    <w:rsid w:val="F76E14F2"/>
    <w:rsid w:val="F77E0010"/>
    <w:rsid w:val="F77FCF94"/>
    <w:rsid w:val="F77FF8B3"/>
    <w:rsid w:val="F7AB3CD6"/>
    <w:rsid w:val="F7D882E4"/>
    <w:rsid w:val="F7F62ADF"/>
    <w:rsid w:val="F7F6A576"/>
    <w:rsid w:val="F7F74508"/>
    <w:rsid w:val="F7F9B9B7"/>
    <w:rsid w:val="F7FBF7D9"/>
    <w:rsid w:val="F7FF2C77"/>
    <w:rsid w:val="F83FB818"/>
    <w:rsid w:val="F8849D98"/>
    <w:rsid w:val="F97EED1D"/>
    <w:rsid w:val="F9CF9D82"/>
    <w:rsid w:val="F9F847F4"/>
    <w:rsid w:val="FA3E879F"/>
    <w:rsid w:val="FA7D8695"/>
    <w:rsid w:val="FAE9BE45"/>
    <w:rsid w:val="FAEFE6E9"/>
    <w:rsid w:val="FAFEF243"/>
    <w:rsid w:val="FAFFD476"/>
    <w:rsid w:val="FB3F4234"/>
    <w:rsid w:val="FB9F9829"/>
    <w:rsid w:val="FBAB42A7"/>
    <w:rsid w:val="FBAD67C3"/>
    <w:rsid w:val="FBAE9EBA"/>
    <w:rsid w:val="FBBB4962"/>
    <w:rsid w:val="FBBFF0FE"/>
    <w:rsid w:val="FBDE0C27"/>
    <w:rsid w:val="FBE7851C"/>
    <w:rsid w:val="FBED005D"/>
    <w:rsid w:val="FBEE093E"/>
    <w:rsid w:val="FBEE72BC"/>
    <w:rsid w:val="FBEF0EC9"/>
    <w:rsid w:val="FBFB629E"/>
    <w:rsid w:val="FBFB769D"/>
    <w:rsid w:val="FBFC1510"/>
    <w:rsid w:val="FBFF4AED"/>
    <w:rsid w:val="FBFF9AD6"/>
    <w:rsid w:val="FBFFE5B8"/>
    <w:rsid w:val="FBFFF3EF"/>
    <w:rsid w:val="FC4B9824"/>
    <w:rsid w:val="FC4F2A47"/>
    <w:rsid w:val="FC70F465"/>
    <w:rsid w:val="FCAFACFF"/>
    <w:rsid w:val="FCB51D1C"/>
    <w:rsid w:val="FCB61750"/>
    <w:rsid w:val="FCF7E813"/>
    <w:rsid w:val="FCFEFDE6"/>
    <w:rsid w:val="FCFF14EE"/>
    <w:rsid w:val="FCFF9954"/>
    <w:rsid w:val="FD6DA2DC"/>
    <w:rsid w:val="FD7BD887"/>
    <w:rsid w:val="FD7FAF77"/>
    <w:rsid w:val="FDAFE80C"/>
    <w:rsid w:val="FDB73084"/>
    <w:rsid w:val="FDBDF8D0"/>
    <w:rsid w:val="FDBE276D"/>
    <w:rsid w:val="FDCE4B77"/>
    <w:rsid w:val="FDDB00D6"/>
    <w:rsid w:val="FDDB6290"/>
    <w:rsid w:val="FDEF461E"/>
    <w:rsid w:val="FDEF61F3"/>
    <w:rsid w:val="FDF4498E"/>
    <w:rsid w:val="FDFDB3DB"/>
    <w:rsid w:val="FDFDDE42"/>
    <w:rsid w:val="FE26722D"/>
    <w:rsid w:val="FE3FBFD1"/>
    <w:rsid w:val="FE5BFFAF"/>
    <w:rsid w:val="FE734CC6"/>
    <w:rsid w:val="FE7D9E9E"/>
    <w:rsid w:val="FE7F1D72"/>
    <w:rsid w:val="FE7FD806"/>
    <w:rsid w:val="FEAF90CD"/>
    <w:rsid w:val="FEB573E0"/>
    <w:rsid w:val="FEBB0FCF"/>
    <w:rsid w:val="FEBFC83C"/>
    <w:rsid w:val="FEC7D000"/>
    <w:rsid w:val="FECDDA54"/>
    <w:rsid w:val="FECFB597"/>
    <w:rsid w:val="FEDC8549"/>
    <w:rsid w:val="FEDE8F3C"/>
    <w:rsid w:val="FEEF442A"/>
    <w:rsid w:val="FEF69F94"/>
    <w:rsid w:val="FEF7D6C2"/>
    <w:rsid w:val="FEF7DD25"/>
    <w:rsid w:val="FEFF4E59"/>
    <w:rsid w:val="FEFFF4E6"/>
    <w:rsid w:val="FF2E218F"/>
    <w:rsid w:val="FF36FA07"/>
    <w:rsid w:val="FF3B0EAC"/>
    <w:rsid w:val="FF57F89E"/>
    <w:rsid w:val="FF6D60CE"/>
    <w:rsid w:val="FF6DB014"/>
    <w:rsid w:val="FF7A24C9"/>
    <w:rsid w:val="FF7C5193"/>
    <w:rsid w:val="FF7F0E61"/>
    <w:rsid w:val="FF7F17FB"/>
    <w:rsid w:val="FF8EDD61"/>
    <w:rsid w:val="FF8F7035"/>
    <w:rsid w:val="FFAC509A"/>
    <w:rsid w:val="FFAF8626"/>
    <w:rsid w:val="FFBF0775"/>
    <w:rsid w:val="FFBF0D01"/>
    <w:rsid w:val="FFBF2A30"/>
    <w:rsid w:val="FFC73568"/>
    <w:rsid w:val="FFD75458"/>
    <w:rsid w:val="FFDD32A1"/>
    <w:rsid w:val="FFDD7D40"/>
    <w:rsid w:val="FFDFF6FC"/>
    <w:rsid w:val="FFE7D75C"/>
    <w:rsid w:val="FFE946E3"/>
    <w:rsid w:val="FFECF467"/>
    <w:rsid w:val="FFEDB198"/>
    <w:rsid w:val="FFEE0E0D"/>
    <w:rsid w:val="FFEF49D4"/>
    <w:rsid w:val="FFEF61B8"/>
    <w:rsid w:val="FFEF6808"/>
    <w:rsid w:val="FFEFE6BA"/>
    <w:rsid w:val="FFF603D6"/>
    <w:rsid w:val="FFF767BD"/>
    <w:rsid w:val="FFF7780F"/>
    <w:rsid w:val="FFF7CF3E"/>
    <w:rsid w:val="FFF96692"/>
    <w:rsid w:val="FFF97826"/>
    <w:rsid w:val="FFF9BD08"/>
    <w:rsid w:val="FFFB049C"/>
    <w:rsid w:val="FFFB0A4C"/>
    <w:rsid w:val="FFFB81BA"/>
    <w:rsid w:val="FFFB8799"/>
    <w:rsid w:val="FFFC1E3C"/>
    <w:rsid w:val="FFFCFF99"/>
    <w:rsid w:val="FFFDDCF7"/>
    <w:rsid w:val="FFFE000F"/>
    <w:rsid w:val="FFFE49E9"/>
    <w:rsid w:val="FFFE7761"/>
    <w:rsid w:val="FFFF13DA"/>
    <w:rsid w:val="FFFF5EFB"/>
    <w:rsid w:val="FFFF5F3C"/>
    <w:rsid w:val="FFFF67E2"/>
    <w:rsid w:val="FFFF96E7"/>
    <w:rsid w:val="FFFFB194"/>
    <w:rsid w:val="FFFFC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0"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31"/>
    <w:qFormat/>
    <w:uiPriority w:val="9"/>
    <w:pPr>
      <w:spacing w:before="156" w:beforeLines="50" w:after="312" w:afterLines="100"/>
      <w:ind w:firstLine="0" w:firstLineChars="0"/>
      <w:jc w:val="center"/>
      <w:outlineLvl w:val="0"/>
    </w:pPr>
    <w:rPr>
      <w:rFonts w:eastAsia="黑体"/>
      <w:bCs/>
      <w:kern w:val="44"/>
      <w:szCs w:val="44"/>
    </w:rPr>
  </w:style>
  <w:style w:type="paragraph" w:styleId="3">
    <w:name w:val="heading 2"/>
    <w:basedOn w:val="1"/>
    <w:next w:val="1"/>
    <w:link w:val="28"/>
    <w:unhideWhenUsed/>
    <w:qFormat/>
    <w:uiPriority w:val="9"/>
    <w:pPr>
      <w:spacing w:before="50" w:beforeLines="50" w:after="50" w:afterLines="50"/>
      <w:outlineLvl w:val="1"/>
    </w:pPr>
    <w:rPr>
      <w:rFonts w:eastAsia="楷体_GB2312"/>
      <w:b/>
      <w:szCs w:val="32"/>
    </w:rPr>
  </w:style>
  <w:style w:type="paragraph" w:styleId="4">
    <w:name w:val="heading 3"/>
    <w:basedOn w:val="1"/>
    <w:next w:val="1"/>
    <w:link w:val="32"/>
    <w:unhideWhenUsed/>
    <w:qFormat/>
    <w:uiPriority w:val="9"/>
    <w:pPr>
      <w:keepNext/>
      <w:keepLines/>
      <w:spacing w:before="50" w:beforeLines="50" w:after="50" w:afterLines="50"/>
      <w:outlineLvl w:val="2"/>
    </w:pPr>
    <w:rPr>
      <w:b/>
      <w:szCs w:val="32"/>
    </w:rPr>
  </w:style>
  <w:style w:type="paragraph" w:styleId="5">
    <w:name w:val="heading 4"/>
    <w:basedOn w:val="1"/>
    <w:next w:val="1"/>
    <w:link w:val="42"/>
    <w:unhideWhenUsed/>
    <w:qFormat/>
    <w:uiPriority w:val="9"/>
    <w:pPr>
      <w:keepNext/>
      <w:keepLines/>
      <w:spacing w:before="156" w:beforeLines="50" w:after="156" w:afterLines="50"/>
      <w:outlineLvl w:val="3"/>
    </w:pPr>
    <w:rPr>
      <w:rFonts w:ascii="仿宋_GB2312" w:hAnsiTheme="majorHAnsi" w:cstheme="majorBidi"/>
      <w:b/>
      <w:bCs/>
      <w:szCs w:val="28"/>
      <w:u w:color="000000"/>
      <w:lang w:val="zh-CN" w:eastAsia="zh-TW"/>
    </w:rPr>
  </w:style>
  <w:style w:type="character" w:default="1" w:styleId="19">
    <w:name w:val="Default Paragraph Font"/>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9"/>
    <w:semiHidden/>
    <w:unhideWhenUsed/>
    <w:qFormat/>
    <w:uiPriority w:val="99"/>
    <w:rPr>
      <w:b/>
      <w:bCs/>
    </w:rPr>
  </w:style>
  <w:style w:type="paragraph" w:styleId="7">
    <w:name w:val="annotation text"/>
    <w:basedOn w:val="1"/>
    <w:link w:val="48"/>
    <w:unhideWhenUsed/>
    <w:qFormat/>
    <w:uiPriority w:val="99"/>
    <w:pPr>
      <w:jc w:val="left"/>
    </w:pPr>
  </w:style>
  <w:style w:type="paragraph" w:styleId="8">
    <w:name w:val="Body Text First Indent"/>
    <w:basedOn w:val="9"/>
    <w:link w:val="43"/>
    <w:semiHidden/>
    <w:unhideWhenUsed/>
    <w:qFormat/>
    <w:uiPriority w:val="99"/>
    <w:pPr>
      <w:ind w:firstLine="420" w:firstLineChars="100"/>
    </w:pPr>
  </w:style>
  <w:style w:type="paragraph" w:styleId="9">
    <w:name w:val="Body Text"/>
    <w:basedOn w:val="1"/>
    <w:link w:val="37"/>
    <w:unhideWhenUsed/>
    <w:qFormat/>
    <w:uiPriority w:val="99"/>
    <w:pPr>
      <w:spacing w:after="120"/>
    </w:pPr>
  </w:style>
  <w:style w:type="paragraph" w:styleId="10">
    <w:name w:val="caption"/>
    <w:basedOn w:val="1"/>
    <w:next w:val="1"/>
    <w:semiHidden/>
    <w:unhideWhenUsed/>
    <w:qFormat/>
    <w:uiPriority w:val="0"/>
    <w:rPr>
      <w:rFonts w:ascii="Arial" w:hAnsi="Arial" w:eastAsia="黑体"/>
      <w:sz w:val="20"/>
    </w:rPr>
  </w:style>
  <w:style w:type="paragraph" w:styleId="11">
    <w:name w:val="toc 3"/>
    <w:basedOn w:val="1"/>
    <w:next w:val="1"/>
    <w:unhideWhenUsed/>
    <w:qFormat/>
    <w:uiPriority w:val="39"/>
    <w:pPr>
      <w:tabs>
        <w:tab w:val="right" w:leader="dot" w:pos="8296"/>
      </w:tabs>
      <w:ind w:left="640" w:leftChars="200" w:firstLine="640"/>
    </w:pPr>
  </w:style>
  <w:style w:type="paragraph" w:styleId="12">
    <w:name w:val="footer"/>
    <w:basedOn w:val="1"/>
    <w:link w:val="40"/>
    <w:unhideWhenUsed/>
    <w:qFormat/>
    <w:uiPriority w:val="99"/>
    <w:pPr>
      <w:tabs>
        <w:tab w:val="center" w:pos="4153"/>
        <w:tab w:val="right" w:pos="8306"/>
      </w:tabs>
      <w:spacing w:line="240" w:lineRule="atLeast"/>
      <w:jc w:val="left"/>
    </w:pPr>
    <w:rPr>
      <w:sz w:val="18"/>
      <w:szCs w:val="18"/>
    </w:rPr>
  </w:style>
  <w:style w:type="paragraph" w:styleId="13">
    <w:name w:val="header"/>
    <w:basedOn w:val="1"/>
    <w:link w:val="4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4">
    <w:name w:val="toc 1"/>
    <w:basedOn w:val="1"/>
    <w:next w:val="1"/>
    <w:unhideWhenUsed/>
    <w:qFormat/>
    <w:uiPriority w:val="39"/>
    <w:pPr>
      <w:tabs>
        <w:tab w:val="right" w:leader="dot" w:pos="8296"/>
      </w:tabs>
      <w:ind w:firstLine="0" w:firstLineChars="0"/>
    </w:pPr>
  </w:style>
  <w:style w:type="paragraph" w:styleId="15">
    <w:name w:val="footnote text"/>
    <w:basedOn w:val="1"/>
    <w:link w:val="33"/>
    <w:qFormat/>
    <w:uiPriority w:val="99"/>
    <w:pPr>
      <w:jc w:val="left"/>
    </w:pPr>
    <w:rPr>
      <w:bCs/>
      <w:sz w:val="18"/>
      <w:szCs w:val="18"/>
    </w:rPr>
  </w:style>
  <w:style w:type="paragraph" w:styleId="16">
    <w:name w:val="toc 2"/>
    <w:basedOn w:val="1"/>
    <w:next w:val="1"/>
    <w:unhideWhenUsed/>
    <w:qFormat/>
    <w:uiPriority w:val="39"/>
    <w:pPr>
      <w:tabs>
        <w:tab w:val="right" w:leader="dot" w:pos="8296"/>
      </w:tabs>
      <w:ind w:firstLine="640"/>
    </w:pPr>
  </w:style>
  <w:style w:type="paragraph" w:styleId="17">
    <w:name w:val="Normal (Web)"/>
    <w:basedOn w:val="1"/>
    <w:unhideWhenUsed/>
    <w:qFormat/>
    <w:uiPriority w:val="0"/>
    <w:pPr>
      <w:widowControl/>
      <w:snapToGrid/>
      <w:spacing w:before="100" w:beforeAutospacing="1" w:after="100" w:afterAutospacing="1" w:line="240" w:lineRule="auto"/>
      <w:ind w:firstLine="0" w:firstLineChars="0"/>
      <w:jc w:val="left"/>
    </w:pPr>
    <w:rPr>
      <w:rFonts w:ascii="宋体" w:hAnsi="宋体" w:cs="宋体"/>
      <w:kern w:val="0"/>
      <w:sz w:val="24"/>
    </w:rPr>
  </w:style>
  <w:style w:type="paragraph" w:styleId="18">
    <w:name w:val="Title"/>
    <w:basedOn w:val="1"/>
    <w:next w:val="1"/>
    <w:link w:val="34"/>
    <w:qFormat/>
    <w:uiPriority w:val="10"/>
    <w:pPr>
      <w:ind w:firstLine="0" w:firstLineChars="0"/>
      <w:jc w:val="center"/>
    </w:pPr>
    <w:rPr>
      <w:rFonts w:eastAsia="方正小标宋简体"/>
      <w:sz w:val="44"/>
      <w:szCs w:val="44"/>
    </w:rPr>
  </w:style>
  <w:style w:type="character" w:styleId="20">
    <w:name w:val="Strong"/>
    <w:basedOn w:val="19"/>
    <w:qFormat/>
    <w:uiPriority w:val="22"/>
    <w:rPr>
      <w:b/>
      <w:bCs/>
    </w:rPr>
  </w:style>
  <w:style w:type="character" w:styleId="21">
    <w:name w:val="page number"/>
    <w:basedOn w:val="19"/>
    <w:semiHidden/>
    <w:unhideWhenUsed/>
    <w:qFormat/>
    <w:uiPriority w:val="99"/>
  </w:style>
  <w:style w:type="character" w:styleId="22">
    <w:name w:val="Emphasis"/>
    <w:basedOn w:val="19"/>
    <w:qFormat/>
    <w:uiPriority w:val="20"/>
    <w:rPr>
      <w:i/>
      <w:iCs/>
    </w:rPr>
  </w:style>
  <w:style w:type="character" w:styleId="23">
    <w:name w:val="Hyperlink"/>
    <w:basedOn w:val="19"/>
    <w:unhideWhenUsed/>
    <w:qFormat/>
    <w:uiPriority w:val="99"/>
    <w:rPr>
      <w:color w:val="0563C1"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character" w:styleId="25">
    <w:name w:val="footnote reference"/>
    <w:qFormat/>
    <w:uiPriority w:val="99"/>
    <w:rPr>
      <w:vertAlign w:val="superscript"/>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标题 2 字符"/>
    <w:basedOn w:val="19"/>
    <w:link w:val="3"/>
    <w:qFormat/>
    <w:uiPriority w:val="9"/>
    <w:rPr>
      <w:rFonts w:ascii="Times New Roman" w:hAnsi="Times New Roman" w:eastAsia="楷体_GB2312" w:cs="Times New Roman"/>
      <w:b/>
      <w:sz w:val="32"/>
      <w:szCs w:val="32"/>
    </w:rPr>
  </w:style>
  <w:style w:type="paragraph" w:customStyle="1" w:styleId="29">
    <w:name w:val="资料来源"/>
    <w:basedOn w:val="1"/>
    <w:link w:val="30"/>
    <w:qFormat/>
    <w:uiPriority w:val="0"/>
    <w:pPr>
      <w:adjustRightInd/>
      <w:spacing w:before="120" w:after="50" w:afterLines="50" w:line="240" w:lineRule="auto"/>
      <w:ind w:firstLine="480"/>
    </w:pPr>
    <w:rPr>
      <w:rFonts w:ascii="宋体" w:hAnsi="宋体" w:eastAsia="宋体"/>
      <w:kern w:val="0"/>
      <w:sz w:val="24"/>
      <w:szCs w:val="30"/>
    </w:rPr>
  </w:style>
  <w:style w:type="character" w:customStyle="1" w:styleId="30">
    <w:name w:val="资料来源 字符"/>
    <w:link w:val="29"/>
    <w:qFormat/>
    <w:uiPriority w:val="0"/>
    <w:rPr>
      <w:rFonts w:ascii="宋体" w:hAnsi="宋体" w:eastAsia="宋体" w:cs="Times New Roman"/>
      <w:kern w:val="0"/>
      <w:sz w:val="24"/>
      <w:szCs w:val="30"/>
    </w:rPr>
  </w:style>
  <w:style w:type="character" w:customStyle="1" w:styleId="31">
    <w:name w:val="标题 1 字符"/>
    <w:basedOn w:val="19"/>
    <w:link w:val="2"/>
    <w:qFormat/>
    <w:uiPriority w:val="9"/>
    <w:rPr>
      <w:rFonts w:ascii="Times New Roman" w:hAnsi="Times New Roman" w:eastAsia="黑体" w:cs="Times New Roman"/>
      <w:bCs/>
      <w:kern w:val="44"/>
      <w:sz w:val="32"/>
      <w:szCs w:val="44"/>
    </w:rPr>
  </w:style>
  <w:style w:type="character" w:customStyle="1" w:styleId="32">
    <w:name w:val="标题 3 字符"/>
    <w:basedOn w:val="19"/>
    <w:link w:val="4"/>
    <w:qFormat/>
    <w:uiPriority w:val="9"/>
    <w:rPr>
      <w:rFonts w:ascii="Times New Roman" w:hAnsi="Times New Roman" w:eastAsia="仿宋_GB2312" w:cs="Times New Roman"/>
      <w:b/>
      <w:sz w:val="32"/>
      <w:szCs w:val="32"/>
    </w:rPr>
  </w:style>
  <w:style w:type="character" w:customStyle="1" w:styleId="33">
    <w:name w:val="脚注文本 字符"/>
    <w:basedOn w:val="19"/>
    <w:link w:val="15"/>
    <w:qFormat/>
    <w:uiPriority w:val="99"/>
    <w:rPr>
      <w:rFonts w:ascii="Times New Roman" w:hAnsi="Times New Roman" w:eastAsia="仿宋_GB2312" w:cs="Times New Roman"/>
      <w:sz w:val="18"/>
      <w:szCs w:val="18"/>
    </w:rPr>
  </w:style>
  <w:style w:type="character" w:customStyle="1" w:styleId="34">
    <w:name w:val="标题 字符"/>
    <w:basedOn w:val="19"/>
    <w:link w:val="18"/>
    <w:qFormat/>
    <w:uiPriority w:val="10"/>
    <w:rPr>
      <w:rFonts w:ascii="Times New Roman" w:hAnsi="Times New Roman" w:eastAsia="方正小标宋简体" w:cs="Times New Roman"/>
      <w:sz w:val="44"/>
      <w:szCs w:val="44"/>
    </w:rPr>
  </w:style>
  <w:style w:type="paragraph" w:customStyle="1" w:styleId="35">
    <w:name w:val="修订1"/>
    <w:hidden/>
    <w:unhideWhenUsed/>
    <w:qFormat/>
    <w:uiPriority w:val="99"/>
    <w:pPr>
      <w:spacing w:after="160" w:line="278" w:lineRule="auto"/>
    </w:pPr>
    <w:rPr>
      <w:rFonts w:ascii="Times New Roman" w:hAnsi="Times New Roman" w:eastAsia="仿宋_GB2312" w:cs="Times New Roman"/>
      <w:kern w:val="2"/>
      <w:sz w:val="32"/>
      <w:szCs w:val="24"/>
      <w:lang w:val="en-US" w:eastAsia="zh-CN" w:bidi="ar-SA"/>
    </w:rPr>
  </w:style>
  <w:style w:type="paragraph" w:customStyle="1" w:styleId="36">
    <w:name w:val="样式1"/>
    <w:basedOn w:val="1"/>
    <w:next w:val="1"/>
    <w:qFormat/>
    <w:uiPriority w:val="0"/>
  </w:style>
  <w:style w:type="character" w:customStyle="1" w:styleId="37">
    <w:name w:val="正文文本 字符"/>
    <w:basedOn w:val="19"/>
    <w:link w:val="9"/>
    <w:qFormat/>
    <w:uiPriority w:val="99"/>
    <w:rPr>
      <w:rFonts w:ascii="Times New Roman" w:hAnsi="Times New Roman" w:eastAsia="宋体" w:cs="Times New Roman"/>
      <w:sz w:val="28"/>
    </w:rPr>
  </w:style>
  <w:style w:type="paragraph" w:styleId="38">
    <w:name w:val="List Paragraph"/>
    <w:basedOn w:val="1"/>
    <w:qFormat/>
    <w:uiPriority w:val="34"/>
    <w:pPr>
      <w:ind w:firstLine="420"/>
    </w:pPr>
  </w:style>
  <w:style w:type="paragraph" w:customStyle="1" w:styleId="39">
    <w:name w:val="p1"/>
    <w:basedOn w:val="1"/>
    <w:qFormat/>
    <w:uiPriority w:val="0"/>
    <w:pPr>
      <w:widowControl/>
      <w:snapToGrid/>
      <w:spacing w:line="240" w:lineRule="auto"/>
      <w:ind w:firstLine="0" w:firstLineChars="0"/>
      <w:jc w:val="left"/>
    </w:pPr>
    <w:rPr>
      <w:rFonts w:ascii="Helvetica" w:hAnsi="Helvetica" w:cs="宋体"/>
      <w:color w:val="000000"/>
      <w:kern w:val="0"/>
      <w:sz w:val="23"/>
      <w:szCs w:val="23"/>
    </w:rPr>
  </w:style>
  <w:style w:type="character" w:customStyle="1" w:styleId="40">
    <w:name w:val="页脚 字符"/>
    <w:basedOn w:val="19"/>
    <w:link w:val="12"/>
    <w:qFormat/>
    <w:uiPriority w:val="99"/>
    <w:rPr>
      <w:rFonts w:ascii="Times New Roman" w:hAnsi="Times New Roman" w:eastAsia="仿宋_GB2312" w:cs="Times New Roman"/>
      <w:sz w:val="18"/>
      <w:szCs w:val="18"/>
    </w:rPr>
  </w:style>
  <w:style w:type="character" w:customStyle="1" w:styleId="41">
    <w:name w:val="页眉 字符"/>
    <w:basedOn w:val="19"/>
    <w:link w:val="13"/>
    <w:qFormat/>
    <w:uiPriority w:val="99"/>
    <w:rPr>
      <w:rFonts w:ascii="Times New Roman" w:hAnsi="Times New Roman" w:eastAsia="仿宋_GB2312" w:cs="Times New Roman"/>
      <w:sz w:val="18"/>
      <w:szCs w:val="18"/>
    </w:rPr>
  </w:style>
  <w:style w:type="character" w:customStyle="1" w:styleId="42">
    <w:name w:val="标题 4 字符"/>
    <w:basedOn w:val="19"/>
    <w:link w:val="5"/>
    <w:qFormat/>
    <w:uiPriority w:val="9"/>
    <w:rPr>
      <w:rFonts w:ascii="仿宋_GB2312" w:eastAsia="仿宋_GB2312" w:hAnsiTheme="majorHAnsi" w:cstheme="majorBidi"/>
      <w:b/>
      <w:bCs/>
      <w:kern w:val="2"/>
      <w:sz w:val="32"/>
      <w:szCs w:val="28"/>
      <w:u w:color="000000"/>
      <w:lang w:val="zh-CN" w:eastAsia="zh-TW"/>
    </w:rPr>
  </w:style>
  <w:style w:type="character" w:customStyle="1" w:styleId="43">
    <w:name w:val="正文文本首行缩进 字符"/>
    <w:basedOn w:val="37"/>
    <w:link w:val="8"/>
    <w:semiHidden/>
    <w:qFormat/>
    <w:uiPriority w:val="99"/>
    <w:rPr>
      <w:rFonts w:ascii="Times New Roman" w:hAnsi="Times New Roman" w:eastAsia="仿宋_GB2312" w:cs="Times New Roman"/>
      <w:sz w:val="32"/>
    </w:rPr>
  </w:style>
  <w:style w:type="table" w:customStyle="1" w:styleId="44">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5">
    <w:name w:val="font21"/>
    <w:basedOn w:val="19"/>
    <w:qFormat/>
    <w:uiPriority w:val="0"/>
    <w:rPr>
      <w:rFonts w:hint="default" w:ascii="Times New Roman" w:hAnsi="Times New Roman" w:cs="Times New Roman"/>
      <w:color w:val="000000"/>
      <w:sz w:val="28"/>
      <w:szCs w:val="28"/>
      <w:u w:val="none"/>
    </w:rPr>
  </w:style>
  <w:style w:type="character" w:customStyle="1" w:styleId="46">
    <w:name w:val="font31"/>
    <w:basedOn w:val="19"/>
    <w:qFormat/>
    <w:uiPriority w:val="0"/>
    <w:rPr>
      <w:rFonts w:hint="eastAsia" w:ascii="仿宋_GB2312" w:eastAsia="仿宋_GB2312" w:cs="仿宋_GB2312"/>
      <w:color w:val="000000"/>
      <w:sz w:val="28"/>
      <w:szCs w:val="28"/>
      <w:u w:val="none"/>
    </w:rPr>
  </w:style>
  <w:style w:type="character" w:customStyle="1" w:styleId="47">
    <w:name w:val="font51"/>
    <w:basedOn w:val="19"/>
    <w:qFormat/>
    <w:uiPriority w:val="0"/>
    <w:rPr>
      <w:rFonts w:ascii="MS Gothic" w:hAnsi="MS Gothic" w:eastAsia="MS Gothic" w:cs="MS Gothic"/>
      <w:color w:val="000000"/>
      <w:sz w:val="28"/>
      <w:szCs w:val="28"/>
      <w:u w:val="none"/>
    </w:rPr>
  </w:style>
  <w:style w:type="character" w:customStyle="1" w:styleId="48">
    <w:name w:val="批注文字 字符"/>
    <w:basedOn w:val="19"/>
    <w:link w:val="7"/>
    <w:qFormat/>
    <w:uiPriority w:val="99"/>
    <w:rPr>
      <w:rFonts w:ascii="Times New Roman" w:hAnsi="Times New Roman" w:eastAsia="仿宋_GB2312" w:cs="Times New Roman"/>
      <w:kern w:val="2"/>
      <w:sz w:val="32"/>
      <w:szCs w:val="24"/>
    </w:rPr>
  </w:style>
  <w:style w:type="character" w:customStyle="1" w:styleId="49">
    <w:name w:val="批注主题 字符"/>
    <w:basedOn w:val="48"/>
    <w:link w:val="6"/>
    <w:semiHidden/>
    <w:qFormat/>
    <w:uiPriority w:val="99"/>
    <w:rPr>
      <w:rFonts w:ascii="Times New Roman" w:hAnsi="Times New Roman" w:eastAsia="仿宋_GB2312" w:cs="Times New Roman"/>
      <w:b/>
      <w:bCs/>
      <w:kern w:val="2"/>
      <w:sz w:val="32"/>
      <w:szCs w:val="24"/>
    </w:rPr>
  </w:style>
  <w:style w:type="paragraph" w:customStyle="1" w:styleId="50">
    <w:name w:val="Char1"/>
    <w:basedOn w:val="1"/>
    <w:qFormat/>
    <w:uiPriority w:val="0"/>
    <w:pPr>
      <w:tabs>
        <w:tab w:val="left" w:pos="360"/>
      </w:tabs>
      <w:adjustRightInd/>
      <w:snapToGrid/>
      <w:spacing w:line="240" w:lineRule="auto"/>
      <w:ind w:firstLine="0" w:firstLineChars="0"/>
    </w:pPr>
    <w:rPr>
      <w:sz w:val="24"/>
      <w:szCs w:val="36"/>
    </w:rPr>
  </w:style>
  <w:style w:type="paragraph" w:customStyle="1" w:styleId="51">
    <w:name w:val="修订2"/>
    <w:hidden/>
    <w:unhideWhenUsed/>
    <w:qFormat/>
    <w:uiPriority w:val="99"/>
    <w:pPr>
      <w:spacing w:after="0" w:line="240" w:lineRule="auto"/>
    </w:pPr>
    <w:rPr>
      <w:rFonts w:ascii="Times New Roman" w:hAnsi="Times New Roman" w:eastAsia="仿宋_GB2312" w:cs="Times New Roman"/>
      <w:kern w:val="2"/>
      <w:sz w:val="32"/>
      <w:szCs w:val="24"/>
      <w:lang w:val="en-US" w:eastAsia="zh-CN" w:bidi="ar-SA"/>
    </w:rPr>
  </w:style>
  <w:style w:type="character" w:customStyle="1" w:styleId="52">
    <w:name w:val="font11"/>
    <w:basedOn w:val="19"/>
    <w:qFormat/>
    <w:uiPriority w:val="0"/>
    <w:rPr>
      <w:rFonts w:hint="eastAsia" w:ascii="仿宋" w:hAnsi="仿宋" w:eastAsia="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8037</Words>
  <Characters>8279</Characters>
  <Lines>459</Lines>
  <Paragraphs>286</Paragraphs>
  <TotalTime>6</TotalTime>
  <ScaleCrop>false</ScaleCrop>
  <LinksUpToDate>false</LinksUpToDate>
  <CharactersWithSpaces>16030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2025-03-20T05:18:00Z</dcterms:created>
  <dc:creator>lin hekun</dc:creator>
  <cp:lastModifiedBy>lx</cp:lastModifiedBy>
  <cp:lastPrinted>2026-01-09T18:19:00Z</cp:lastPrinted>
  <dcterms:modified xsi:type="dcterms:W3CDTF">2026-07-17T06:16:57Z</dcterms:modified>
  <cp:revision>3363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1CAACEDC7E014936A28CC3860A25A7FC_13</vt:lpwstr>
  </property>
  <property fmtid="{D5CDD505-2E9C-101B-9397-08002B2CF9AE}" pid="4" name="KSOTemplateDocerSaveRecord">
    <vt:lpwstr>eyJoZGlkIjoiNjQ4OWE4NDdmOGNlM2ViZmE3N2FjMzZhOTA2MTVlYTYiLCJ1c2VySWQiOiIxNTY2MjUxNjc0In0=</vt:lpwstr>
  </property>
</Properties>
</file>